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w:t>
      </w:r>
      <w:r w:rsidR="0093521C">
        <w:rPr>
          <w:rFonts w:asciiTheme="majorHAnsi" w:hAnsiTheme="majorHAnsi" w:cstheme="majorHAnsi"/>
          <w:b/>
        </w:rPr>
        <w:t>2</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93521C" w:rsidRPr="0093521C">
        <w:rPr>
          <w:rFonts w:asciiTheme="majorHAnsi" w:hAnsiTheme="majorHAnsi" w:cstheme="majorHAnsi"/>
          <w:b/>
        </w:rPr>
        <w:t>R1-1802251</w:t>
      </w:r>
    </w:p>
    <w:p w:rsidR="00CF7042" w:rsidRPr="00A81622" w:rsidRDefault="0093521C" w:rsidP="00CF7042">
      <w:pPr>
        <w:rPr>
          <w:rFonts w:asciiTheme="majorHAnsi" w:eastAsia="MS Mincho" w:hAnsiTheme="majorHAnsi" w:cstheme="majorHAnsi"/>
          <w:b/>
          <w:bCs/>
          <w:sz w:val="28"/>
        </w:rPr>
      </w:pPr>
      <w:r w:rsidRPr="00105C99">
        <w:rPr>
          <w:rFonts w:asciiTheme="majorHAnsi" w:hAnsiTheme="majorHAnsi" w:cstheme="majorHAnsi"/>
          <w:b/>
        </w:rPr>
        <w:t>Athens, Greece, February 26th – March 2nd, 2018</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 xml:space="preserve">Low PAPR SFBC </w:t>
      </w:r>
      <w:r w:rsidR="00105944">
        <w:rPr>
          <w:rFonts w:asciiTheme="majorHAnsi" w:eastAsia="MS Gothic" w:hAnsiTheme="majorHAnsi" w:cstheme="majorHAnsi"/>
          <w:noProof w:val="0"/>
          <w:sz w:val="24"/>
        </w:rPr>
        <w:t xml:space="preserve">evaluations </w:t>
      </w:r>
      <w:r w:rsidR="002A271E">
        <w:rPr>
          <w:rFonts w:asciiTheme="majorHAnsi" w:eastAsia="MS Gothic" w:hAnsiTheme="majorHAnsi" w:cstheme="majorHAnsi"/>
          <w:noProof w:val="0"/>
          <w:sz w:val="24"/>
        </w:rPr>
        <w:t xml:space="preserve">for </w:t>
      </w:r>
      <w:r w:rsidR="00BF4876">
        <w:rPr>
          <w:rFonts w:asciiTheme="majorHAnsi" w:eastAsia="MS Gothic" w:hAnsiTheme="majorHAnsi" w:cstheme="majorHAnsi"/>
          <w:noProof w:val="0"/>
          <w:sz w:val="24"/>
        </w:rPr>
        <w:t>PSSCH</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B92C04">
        <w:rPr>
          <w:rFonts w:asciiTheme="majorHAnsi" w:eastAsia="MS Gothic" w:hAnsiTheme="majorHAnsi" w:cstheme="majorHAnsi"/>
          <w:noProof w:val="0"/>
          <w:sz w:val="24"/>
        </w:rPr>
        <w:t>2.3.3.2 Evaluation Results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0C123C" w:rsidRDefault="000C123C" w:rsidP="000C123C">
      <w:pPr>
        <w:rPr>
          <w:rFonts w:eastAsia="MS Mincho"/>
          <w:iCs/>
          <w:szCs w:val="20"/>
        </w:rPr>
      </w:pPr>
      <w:r>
        <w:rPr>
          <w:rFonts w:eastAsia="MS Mincho"/>
          <w:iCs/>
          <w:szCs w:val="20"/>
        </w:rPr>
        <w:t xml:space="preserve">In the latest RAN1#91 </w:t>
      </w:r>
      <w:r>
        <w:rPr>
          <w:rFonts w:eastAsia="MS Mincho"/>
          <w:iCs/>
          <w:szCs w:val="20"/>
        </w:rPr>
        <w:fldChar w:fldCharType="begin"/>
      </w:r>
      <w:r>
        <w:rPr>
          <w:rFonts w:eastAsia="MS Mincho"/>
          <w:iCs/>
          <w:szCs w:val="20"/>
        </w:rPr>
        <w:instrText xml:space="preserve"> REF _Ref506373676 \r \h </w:instrText>
      </w:r>
      <w:r>
        <w:rPr>
          <w:rFonts w:eastAsia="MS Mincho"/>
          <w:iCs/>
          <w:szCs w:val="20"/>
        </w:rPr>
      </w:r>
      <w:r>
        <w:rPr>
          <w:rFonts w:eastAsia="MS Mincho"/>
          <w:iCs/>
          <w:szCs w:val="20"/>
        </w:rPr>
        <w:fldChar w:fldCharType="separate"/>
      </w:r>
      <w:r>
        <w:rPr>
          <w:rFonts w:eastAsia="MS Mincho"/>
          <w:iCs/>
          <w:szCs w:val="20"/>
        </w:rPr>
        <w:t>[1]</w:t>
      </w:r>
      <w:r>
        <w:rPr>
          <w:rFonts w:eastAsia="MS Mincho"/>
          <w:iCs/>
          <w:szCs w:val="20"/>
        </w:rPr>
        <w:fldChar w:fldCharType="end"/>
      </w:r>
      <w:r>
        <w:rPr>
          <w:rFonts w:eastAsia="MS Mincho"/>
          <w:iCs/>
          <w:szCs w:val="20"/>
        </w:rPr>
        <w:t xml:space="preserve"> the following was decided:</w:t>
      </w:r>
    </w:p>
    <w:p w:rsidR="000C123C" w:rsidRPr="000C123C" w:rsidRDefault="000C123C" w:rsidP="00175C63">
      <w:pPr>
        <w:numPr>
          <w:ilvl w:val="0"/>
          <w:numId w:val="13"/>
        </w:numPr>
        <w:spacing w:after="0"/>
        <w:jc w:val="left"/>
        <w:rPr>
          <w:rFonts w:eastAsia="Yu Mincho"/>
          <w:i/>
          <w:sz w:val="20"/>
          <w:szCs w:val="20"/>
        </w:rPr>
      </w:pPr>
      <w:r w:rsidRPr="000C123C">
        <w:rPr>
          <w:rFonts w:eastAsia="Yu Mincho"/>
          <w:i/>
          <w:szCs w:val="20"/>
        </w:rPr>
        <w:t xml:space="preserve">Assuming the previous WA of introducing non-transparent transmit diversity is confirmed, for two-port non-transparent transmit diversity for PSSCH, downselect option 1 as WA among the following candidate schemes </w:t>
      </w:r>
    </w:p>
    <w:p w:rsidR="000C123C" w:rsidRPr="000C123C" w:rsidRDefault="000C123C" w:rsidP="00175C63">
      <w:pPr>
        <w:numPr>
          <w:ilvl w:val="1"/>
          <w:numId w:val="13"/>
        </w:numPr>
        <w:spacing w:after="0"/>
        <w:jc w:val="left"/>
        <w:rPr>
          <w:rFonts w:eastAsia="Yu Mincho"/>
          <w:i/>
          <w:szCs w:val="20"/>
        </w:rPr>
      </w:pPr>
      <w:r w:rsidRPr="000C123C">
        <w:rPr>
          <w:rFonts w:eastAsia="Yu Mincho"/>
          <w:i/>
          <w:szCs w:val="20"/>
          <w:highlight w:val="darkYellow"/>
        </w:rPr>
        <w:t>Working assumption:</w:t>
      </w:r>
      <w:r w:rsidRPr="000C123C">
        <w:rPr>
          <w:rFonts w:eastAsia="Yu Mincho"/>
          <w:i/>
          <w:szCs w:val="20"/>
        </w:rPr>
        <w:t xml:space="preserve"> Option 1: SFBC-based scheme (including PAPR preserving)</w:t>
      </w:r>
    </w:p>
    <w:p w:rsidR="000C123C" w:rsidRPr="000C123C" w:rsidRDefault="000C123C" w:rsidP="00175C63">
      <w:pPr>
        <w:numPr>
          <w:ilvl w:val="2"/>
          <w:numId w:val="13"/>
        </w:numPr>
        <w:spacing w:after="0"/>
        <w:jc w:val="left"/>
        <w:rPr>
          <w:rFonts w:eastAsia="Yu Mincho"/>
          <w:i/>
          <w:szCs w:val="20"/>
        </w:rPr>
      </w:pPr>
      <w:r w:rsidRPr="000C123C">
        <w:rPr>
          <w:rFonts w:eastAsia="Yu Mincho"/>
          <w:i/>
          <w:szCs w:val="20"/>
        </w:rPr>
        <w:t xml:space="preserve">FFS whether to apply slot-level PVS </w:t>
      </w:r>
    </w:p>
    <w:p w:rsidR="000C123C" w:rsidRPr="000C123C" w:rsidRDefault="000C123C" w:rsidP="00175C63">
      <w:pPr>
        <w:numPr>
          <w:ilvl w:val="1"/>
          <w:numId w:val="13"/>
        </w:numPr>
        <w:spacing w:after="0"/>
        <w:jc w:val="left"/>
        <w:rPr>
          <w:rFonts w:eastAsia="Yu Mincho"/>
          <w:i/>
          <w:szCs w:val="20"/>
        </w:rPr>
      </w:pPr>
      <w:r w:rsidRPr="000C123C">
        <w:rPr>
          <w:rFonts w:eastAsia="Yu Mincho"/>
          <w:i/>
          <w:szCs w:val="20"/>
        </w:rPr>
        <w:t>Option 2: STBC-based (including half symbol)</w:t>
      </w:r>
    </w:p>
    <w:p w:rsidR="000C123C" w:rsidRPr="000C123C" w:rsidRDefault="000C123C" w:rsidP="000C123C">
      <w:pPr>
        <w:rPr>
          <w:rFonts w:eastAsia="Yu Mincho"/>
          <w:i/>
          <w:szCs w:val="20"/>
          <w:lang w:val="en-GB"/>
        </w:rPr>
      </w:pPr>
      <w:r w:rsidRPr="000C123C">
        <w:rPr>
          <w:rFonts w:eastAsia="Yu Mincho"/>
          <w:i/>
          <w:szCs w:val="20"/>
        </w:rPr>
        <w:t>Note: Companies are encouraged to perform evaluations for the above options</w:t>
      </w:r>
    </w:p>
    <w:p w:rsidR="000C123C" w:rsidRPr="0069002D" w:rsidRDefault="000C123C" w:rsidP="000C123C">
      <w:pPr>
        <w:rPr>
          <w:rFonts w:eastAsia="MS Mincho"/>
          <w:iCs/>
          <w:szCs w:val="20"/>
          <w:lang w:val="en-GB"/>
        </w:rPr>
      </w:pPr>
    </w:p>
    <w:p w:rsidR="000C123C" w:rsidRDefault="000C123C" w:rsidP="000C123C">
      <w:pPr>
        <w:rPr>
          <w:rFonts w:eastAsia="MS Mincho"/>
          <w:iCs/>
          <w:szCs w:val="20"/>
        </w:rPr>
      </w:pPr>
      <w:r w:rsidRPr="00145316">
        <w:rPr>
          <w:rFonts w:eastAsia="MS Mincho"/>
          <w:iCs/>
          <w:szCs w:val="20"/>
        </w:rPr>
        <w:t>In RAN1#90</w:t>
      </w:r>
      <w:r>
        <w:rPr>
          <w:rFonts w:eastAsia="MS Mincho"/>
          <w:iCs/>
          <w:szCs w:val="20"/>
        </w:rPr>
        <w:t xml:space="preserve">b </w:t>
      </w:r>
      <w:r>
        <w:rPr>
          <w:rFonts w:eastAsia="MS Mincho"/>
          <w:iCs/>
          <w:szCs w:val="20"/>
        </w:rPr>
        <w:fldChar w:fldCharType="begin"/>
      </w:r>
      <w:r>
        <w:rPr>
          <w:rFonts w:eastAsia="MS Mincho"/>
          <w:iCs/>
          <w:szCs w:val="20"/>
        </w:rPr>
        <w:instrText xml:space="preserve"> REF _Ref506373666 \r \h </w:instrText>
      </w:r>
      <w:r>
        <w:rPr>
          <w:rFonts w:eastAsia="MS Mincho"/>
          <w:iCs/>
          <w:szCs w:val="20"/>
        </w:rPr>
      </w:r>
      <w:r>
        <w:rPr>
          <w:rFonts w:eastAsia="MS Mincho"/>
          <w:iCs/>
          <w:szCs w:val="20"/>
        </w:rPr>
        <w:fldChar w:fldCharType="separate"/>
      </w:r>
      <w:r>
        <w:rPr>
          <w:rFonts w:eastAsia="MS Mincho"/>
          <w:iCs/>
          <w:szCs w:val="20"/>
        </w:rPr>
        <w:t>[2]</w:t>
      </w:r>
      <w:r>
        <w:rPr>
          <w:rFonts w:eastAsia="MS Mincho"/>
          <w:iCs/>
          <w:szCs w:val="20"/>
        </w:rPr>
        <w:fldChar w:fldCharType="end"/>
      </w:r>
      <w:r>
        <w:rPr>
          <w:rFonts w:eastAsia="MS Mincho"/>
          <w:iCs/>
          <w:szCs w:val="20"/>
        </w:rPr>
        <w:t>, it was decided that</w:t>
      </w:r>
    </w:p>
    <w:p w:rsidR="000C123C" w:rsidRPr="000E0029" w:rsidRDefault="000C123C" w:rsidP="00175C63">
      <w:pPr>
        <w:numPr>
          <w:ilvl w:val="0"/>
          <w:numId w:val="12"/>
        </w:numPr>
        <w:spacing w:after="0"/>
        <w:jc w:val="left"/>
        <w:rPr>
          <w:i/>
        </w:rPr>
      </w:pPr>
      <w:r w:rsidRPr="000E0029">
        <w:rPr>
          <w:i/>
        </w:rPr>
        <w:t>For PSCCH, small delay CDD can be used on PSCCH</w:t>
      </w:r>
    </w:p>
    <w:p w:rsidR="000C123C" w:rsidRPr="000E0029" w:rsidRDefault="000C123C" w:rsidP="00175C63">
      <w:pPr>
        <w:numPr>
          <w:ilvl w:val="1"/>
          <w:numId w:val="12"/>
        </w:numPr>
        <w:spacing w:after="0"/>
        <w:jc w:val="left"/>
        <w:rPr>
          <w:i/>
        </w:rPr>
      </w:pPr>
      <w:r w:rsidRPr="000E0029">
        <w:rPr>
          <w:i/>
        </w:rPr>
        <w:t>FFS whether the cyclic delay value is specified or left for UE implementation</w:t>
      </w:r>
    </w:p>
    <w:p w:rsidR="000C123C" w:rsidRDefault="000C123C" w:rsidP="000F2286">
      <w:pPr>
        <w:rPr>
          <w:rFonts w:eastAsia="MS Mincho"/>
          <w:iCs/>
          <w:szCs w:val="20"/>
        </w:rPr>
      </w:pPr>
    </w:p>
    <w:p w:rsidR="000F2286" w:rsidRDefault="000F2286" w:rsidP="000F2286">
      <w:pPr>
        <w:rPr>
          <w:rFonts w:eastAsia="MS Mincho"/>
          <w:iCs/>
          <w:szCs w:val="20"/>
        </w:rPr>
      </w:pPr>
      <w:r w:rsidRPr="00145316">
        <w:rPr>
          <w:rFonts w:eastAsia="MS Mincho"/>
          <w:iCs/>
          <w:szCs w:val="20"/>
        </w:rPr>
        <w:t>In the RAN1#90</w:t>
      </w:r>
      <w:r>
        <w:rPr>
          <w:rFonts w:eastAsia="MS Mincho"/>
          <w:iCs/>
          <w:szCs w:val="20"/>
        </w:rPr>
        <w:t xml:space="preserve"> meeting </w:t>
      </w:r>
      <w:r w:rsidR="000C123C">
        <w:rPr>
          <w:rFonts w:eastAsia="MS Mincho"/>
          <w:iCs/>
          <w:szCs w:val="20"/>
        </w:rPr>
        <w:fldChar w:fldCharType="begin"/>
      </w:r>
      <w:r w:rsidR="000C123C">
        <w:rPr>
          <w:rFonts w:eastAsia="MS Mincho"/>
          <w:iCs/>
          <w:szCs w:val="20"/>
        </w:rPr>
        <w:instrText xml:space="preserve"> REF _Ref506396281 \r \h </w:instrText>
      </w:r>
      <w:r w:rsidR="000C123C">
        <w:rPr>
          <w:rFonts w:eastAsia="MS Mincho"/>
          <w:iCs/>
          <w:szCs w:val="20"/>
        </w:rPr>
      </w:r>
      <w:r w:rsidR="000C123C">
        <w:rPr>
          <w:rFonts w:eastAsia="MS Mincho"/>
          <w:iCs/>
          <w:szCs w:val="20"/>
        </w:rPr>
        <w:fldChar w:fldCharType="separate"/>
      </w:r>
      <w:r w:rsidR="000C123C">
        <w:rPr>
          <w:rFonts w:eastAsia="MS Mincho"/>
          <w:iCs/>
          <w:szCs w:val="20"/>
        </w:rPr>
        <w:t>[3]</w:t>
      </w:r>
      <w:r w:rsidR="000C123C">
        <w:rPr>
          <w:rFonts w:eastAsia="MS Mincho"/>
          <w:iCs/>
          <w:szCs w:val="20"/>
        </w:rPr>
        <w:fldChar w:fldCharType="end"/>
      </w:r>
      <w:r>
        <w:rPr>
          <w:rFonts w:eastAsia="MS Mincho"/>
          <w:iCs/>
          <w:szCs w:val="20"/>
        </w:rPr>
        <w:t xml:space="preserve"> the following </w:t>
      </w:r>
      <w:r w:rsidRPr="000C123C">
        <w:rPr>
          <w:rFonts w:eastAsia="MS Mincho"/>
          <w:iCs/>
          <w:szCs w:val="20"/>
          <w:highlight w:val="darkYellow"/>
        </w:rPr>
        <w:t>working assumption</w:t>
      </w:r>
      <w:r>
        <w:rPr>
          <w:rFonts w:eastAsia="MS Mincho"/>
          <w:iCs/>
          <w:szCs w:val="20"/>
        </w:rPr>
        <w:t xml:space="preserve"> was reached</w:t>
      </w:r>
      <w:r w:rsidR="00BF4876">
        <w:rPr>
          <w:rFonts w:eastAsia="MS Mincho"/>
          <w:iCs/>
          <w:szCs w:val="20"/>
        </w:rPr>
        <w:t xml:space="preserve"> for PSSCH</w:t>
      </w:r>
      <w:r>
        <w:rPr>
          <w:rFonts w:eastAsia="MS Mincho"/>
          <w:iCs/>
          <w:szCs w:val="20"/>
        </w:rPr>
        <w:t>:</w:t>
      </w:r>
    </w:p>
    <w:p w:rsidR="000F2286" w:rsidRPr="00D528CE" w:rsidRDefault="000F2286" w:rsidP="00175C63">
      <w:pPr>
        <w:numPr>
          <w:ilvl w:val="0"/>
          <w:numId w:val="9"/>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 xml:space="preserve">The use of non-transparent transmit diversity is configured. </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Details, including diversity scheme, are FFS</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Support of transmission and/or reception up to UE capability</w:t>
      </w:r>
    </w:p>
    <w:p w:rsidR="000F2286" w:rsidRPr="00D528CE" w:rsidRDefault="000F2286" w:rsidP="00175C63">
      <w:pPr>
        <w:numPr>
          <w:ilvl w:val="2"/>
          <w:numId w:val="9"/>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0F2286" w:rsidRPr="00D528CE" w:rsidRDefault="000F2286" w:rsidP="00175C63">
      <w:pPr>
        <w:numPr>
          <w:ilvl w:val="2"/>
          <w:numId w:val="9"/>
        </w:numPr>
        <w:tabs>
          <w:tab w:val="left" w:pos="1440"/>
        </w:tabs>
        <w:spacing w:after="0"/>
        <w:jc w:val="left"/>
        <w:rPr>
          <w:rFonts w:eastAsia="MS Mincho"/>
          <w:i/>
        </w:rPr>
      </w:pPr>
      <w:r w:rsidRPr="00D528CE">
        <w:rPr>
          <w:rFonts w:eastAsia="MS Mincho"/>
          <w:i/>
        </w:rPr>
        <w:t>Impact on Rel-14 UEs of PSSCH-RSRP measurement accuracy</w:t>
      </w:r>
    </w:p>
    <w:p w:rsidR="000F2286" w:rsidRPr="00D528CE" w:rsidRDefault="000F2286" w:rsidP="00175C63">
      <w:pPr>
        <w:numPr>
          <w:ilvl w:val="2"/>
          <w:numId w:val="9"/>
        </w:numPr>
        <w:tabs>
          <w:tab w:val="left" w:pos="1440"/>
        </w:tabs>
        <w:spacing w:after="0"/>
        <w:jc w:val="left"/>
        <w:rPr>
          <w:rFonts w:eastAsia="MS Mincho"/>
          <w:i/>
        </w:rPr>
      </w:pPr>
      <w:r w:rsidRPr="00D528CE">
        <w:rPr>
          <w:rFonts w:eastAsia="MS Mincho"/>
          <w:i/>
        </w:rPr>
        <w:t>MPR for Rel-15 UEs</w:t>
      </w:r>
    </w:p>
    <w:p w:rsidR="000F2286" w:rsidRPr="00D528CE" w:rsidRDefault="000F2286" w:rsidP="00175C63">
      <w:pPr>
        <w:numPr>
          <w:ilvl w:val="0"/>
          <w:numId w:val="9"/>
        </w:numPr>
        <w:tabs>
          <w:tab w:val="left" w:pos="1440"/>
        </w:tabs>
        <w:spacing w:after="0"/>
        <w:jc w:val="left"/>
        <w:rPr>
          <w:rFonts w:eastAsia="MS Mincho"/>
          <w:i/>
        </w:rPr>
      </w:pPr>
      <w:r w:rsidRPr="00D528CE">
        <w:rPr>
          <w:rFonts w:eastAsia="MS Mincho"/>
          <w:i/>
        </w:rPr>
        <w:t>Non-transparent Transmit diversity is not used in the following cases:</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When communicating with Rel-14 UEs</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When there is a high probability of resource collision with Rel-14 UEs</w:t>
      </w:r>
    </w:p>
    <w:p w:rsidR="000F2286" w:rsidRPr="00D528CE" w:rsidRDefault="000F2286" w:rsidP="00175C63">
      <w:pPr>
        <w:numPr>
          <w:ilvl w:val="0"/>
          <w:numId w:val="9"/>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0F2286" w:rsidRDefault="000F2286" w:rsidP="000F2286">
      <w:pPr>
        <w:rPr>
          <w:rFonts w:eastAsia="MS Mincho"/>
          <w:iCs/>
          <w:szCs w:val="20"/>
        </w:rPr>
      </w:pPr>
    </w:p>
    <w:p w:rsidR="002B4B53" w:rsidRDefault="000F2286" w:rsidP="0051424C">
      <w:pPr>
        <w:rPr>
          <w:rFonts w:eastAsia="MS Mincho"/>
          <w:iCs/>
          <w:szCs w:val="20"/>
        </w:rPr>
      </w:pPr>
      <w:r>
        <w:rPr>
          <w:rFonts w:eastAsia="MS Mincho"/>
          <w:iCs/>
          <w:szCs w:val="20"/>
        </w:rPr>
        <w:t xml:space="preserve">In RAN1#88b </w:t>
      </w:r>
      <w:r>
        <w:rPr>
          <w:rFonts w:eastAsia="MS Mincho"/>
          <w:iCs/>
          <w:szCs w:val="20"/>
        </w:rPr>
        <w:fldChar w:fldCharType="begin"/>
      </w:r>
      <w:r>
        <w:rPr>
          <w:rFonts w:eastAsia="MS Mincho"/>
          <w:iCs/>
          <w:szCs w:val="20"/>
        </w:rPr>
        <w:instrText xml:space="preserve"> REF _Ref484187793 \r \h </w:instrText>
      </w:r>
      <w:r>
        <w:rPr>
          <w:rFonts w:eastAsia="MS Mincho"/>
          <w:iCs/>
          <w:szCs w:val="20"/>
        </w:rPr>
      </w:r>
      <w:r>
        <w:rPr>
          <w:rFonts w:eastAsia="MS Mincho"/>
          <w:iCs/>
          <w:szCs w:val="20"/>
        </w:rPr>
        <w:fldChar w:fldCharType="separate"/>
      </w:r>
      <w:r w:rsidR="000C123C">
        <w:rPr>
          <w:rFonts w:eastAsia="MS Mincho"/>
          <w:iCs/>
          <w:szCs w:val="20"/>
        </w:rPr>
        <w:t>[4]</w:t>
      </w:r>
      <w:r>
        <w:rPr>
          <w:rFonts w:eastAsia="MS Mincho"/>
          <w:iCs/>
          <w:szCs w:val="20"/>
        </w:rPr>
        <w:fldChar w:fldCharType="end"/>
      </w:r>
      <w:r>
        <w:rPr>
          <w:rFonts w:eastAsia="MS Mincho"/>
          <w:iCs/>
          <w:szCs w:val="20"/>
        </w:rPr>
        <w:t>, simulation assumption agreements have been made to set up the simulation scenarios for transmit diversity candidates for PSSCH and PSCCH.</w:t>
      </w:r>
    </w:p>
    <w:p w:rsidR="000F2286" w:rsidRPr="000F2286" w:rsidRDefault="000F2286" w:rsidP="00175C63">
      <w:pPr>
        <w:pStyle w:val="Paragraphedeliste"/>
        <w:numPr>
          <w:ilvl w:val="0"/>
          <w:numId w:val="10"/>
        </w:numPr>
        <w:overflowPunct w:val="0"/>
        <w:autoSpaceDE w:val="0"/>
        <w:autoSpaceDN w:val="0"/>
        <w:spacing w:after="60"/>
        <w:ind w:leftChars="0"/>
        <w:rPr>
          <w:i/>
        </w:rPr>
      </w:pPr>
      <w:r w:rsidRPr="000F2286">
        <w:rPr>
          <w:i/>
        </w:rPr>
        <w:t xml:space="preserve">For the </w:t>
      </w:r>
      <w:r w:rsidRPr="000F2286">
        <w:rPr>
          <w:i/>
          <w:iCs/>
          <w:lang w:eastAsia="zh-CN"/>
        </w:rPr>
        <w:t>design</w:t>
      </w:r>
      <w:r w:rsidRPr="000F2286">
        <w:rPr>
          <w:i/>
        </w:rPr>
        <w:t xml:space="preserve"> and feasibility of TxD schemes in Rel-15 PC5 operation, the CM increase per antenna over single antenna port transmission of Rel-14 is considered.</w:t>
      </w:r>
    </w:p>
    <w:p w:rsidR="000F2286" w:rsidRPr="000F2286" w:rsidRDefault="000F2286" w:rsidP="00175C63">
      <w:pPr>
        <w:pStyle w:val="Paragraphedeliste"/>
        <w:numPr>
          <w:ilvl w:val="0"/>
          <w:numId w:val="10"/>
        </w:numPr>
        <w:overflowPunct w:val="0"/>
        <w:autoSpaceDE w:val="0"/>
        <w:autoSpaceDN w:val="0"/>
        <w:spacing w:after="60"/>
        <w:ind w:leftChars="0"/>
        <w:rPr>
          <w:i/>
        </w:rPr>
      </w:pPr>
      <w:r w:rsidRPr="000F2286">
        <w:rPr>
          <w:i/>
        </w:rPr>
        <w:t>For</w:t>
      </w:r>
      <w:r w:rsidRPr="000F2286">
        <w:rPr>
          <w:rFonts w:eastAsia="MS Mincho"/>
          <w:i/>
          <w:iCs/>
        </w:rPr>
        <w:t xml:space="preserve"> </w:t>
      </w:r>
      <w:r w:rsidRPr="000F2286">
        <w:rPr>
          <w:i/>
        </w:rPr>
        <w:t>link</w:t>
      </w:r>
      <w:r w:rsidRPr="000F2286">
        <w:rPr>
          <w:rFonts w:eastAsia="MS Mincho"/>
          <w:i/>
          <w:iCs/>
        </w:rPr>
        <w:t xml:space="preserve"> </w:t>
      </w:r>
      <w:r w:rsidRPr="000F2286">
        <w:rPr>
          <w:i/>
          <w:iCs/>
          <w:lang w:eastAsia="zh-CN"/>
        </w:rPr>
        <w:t>level</w:t>
      </w:r>
      <w:r w:rsidRPr="000F2286">
        <w:rPr>
          <w:rFonts w:eastAsia="MS Mincho"/>
          <w:i/>
          <w:iCs/>
        </w:rPr>
        <w:t xml:space="preserve"> </w:t>
      </w:r>
      <w:r w:rsidRPr="000F2286">
        <w:rPr>
          <w:i/>
          <w:iCs/>
          <w:lang w:eastAsia="zh-CN"/>
        </w:rPr>
        <w:t>simulation</w:t>
      </w:r>
      <w:r w:rsidRPr="000F2286">
        <w:rPr>
          <w:rFonts w:eastAsia="MS Mincho"/>
          <w:i/>
          <w:iCs/>
        </w:rPr>
        <w:t xml:space="preserve"> (SNR vs. BLER) to investigate TxD gains for performance of V2X is applied for PSSCH and PSCCH.</w:t>
      </w:r>
    </w:p>
    <w:tbl>
      <w:tblPr>
        <w:tblW w:w="7920" w:type="dxa"/>
        <w:jc w:val="center"/>
        <w:tblCellMar>
          <w:left w:w="0" w:type="dxa"/>
          <w:right w:w="0" w:type="dxa"/>
        </w:tblCellMar>
        <w:tblLook w:val="0600" w:firstRow="0" w:lastRow="0" w:firstColumn="0" w:lastColumn="0" w:noHBand="1" w:noVBand="1"/>
      </w:tblPr>
      <w:tblGrid>
        <w:gridCol w:w="2268"/>
        <w:gridCol w:w="5652"/>
      </w:tblGrid>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lastRenderedPageBreak/>
              <w:t>Parameters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t>Value</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Carrier frequency</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6GHz</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 xml:space="preserve">Antenna number </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2 x 2</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Channel model</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LOS/NLOS in TR36.885 (linear polarization, half-lambda spacing)</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Vehicle speed (absolute)</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15 km/h, 140km/h, 250km/h, 60 km/h optional</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MCS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QPSK ½, 16QAM ½</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Payload size for PSSCH</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300 bytes, 190 bytes</w:t>
            </w:r>
          </w:p>
        </w:tc>
      </w:tr>
    </w:tbl>
    <w:p w:rsidR="000F2286" w:rsidRPr="000F2286" w:rsidRDefault="000F2286" w:rsidP="00175C63">
      <w:pPr>
        <w:pStyle w:val="Paragraphedeliste"/>
        <w:numPr>
          <w:ilvl w:val="0"/>
          <w:numId w:val="10"/>
        </w:numPr>
        <w:overflowPunct w:val="0"/>
        <w:autoSpaceDE w:val="0"/>
        <w:autoSpaceDN w:val="0"/>
        <w:spacing w:after="60"/>
        <w:ind w:leftChars="0"/>
        <w:rPr>
          <w:rFonts w:eastAsia="MS Mincho"/>
          <w:i/>
          <w:iCs/>
        </w:rPr>
      </w:pPr>
      <w:r w:rsidRPr="000F2286">
        <w:rPr>
          <w:rFonts w:eastAsia="MS Mincho"/>
          <w:i/>
          <w:iCs/>
        </w:rPr>
        <w:t xml:space="preserve">Frequency </w:t>
      </w:r>
      <w:r w:rsidRPr="000F2286">
        <w:rPr>
          <w:i/>
        </w:rPr>
        <w:t>offset</w:t>
      </w:r>
      <w:r w:rsidRPr="000F2286">
        <w:rPr>
          <w:rFonts w:eastAsia="MS Mincho"/>
          <w:i/>
          <w:iCs/>
        </w:rPr>
        <w:t xml:space="preserve"> modelled as in TR36.885</w:t>
      </w:r>
    </w:p>
    <w:p w:rsidR="000F2286" w:rsidRDefault="00D47F8C" w:rsidP="000F2286">
      <w:r>
        <w:t xml:space="preserve">This contribution provides link level simulations showing the benefit of using PAPR-preserving SC-SFBC </w:t>
      </w:r>
      <w:r>
        <w:fldChar w:fldCharType="begin"/>
      </w:r>
      <w:r>
        <w:instrText xml:space="preserve"> REF _Ref492582194 \r \h </w:instrText>
      </w:r>
      <w:r>
        <w:fldChar w:fldCharType="separate"/>
      </w:r>
      <w:r w:rsidR="000C123C">
        <w:t>[5]</w:t>
      </w:r>
      <w:r>
        <w:fldChar w:fldCharType="end"/>
      </w:r>
      <w:r>
        <w:t xml:space="preserve"> for sidelink communications.</w:t>
      </w:r>
      <w:r w:rsidR="0021555E">
        <w:t xml:space="preserve"> Our companion contribution </w:t>
      </w:r>
      <w:r w:rsidR="0021555E">
        <w:fldChar w:fldCharType="begin"/>
      </w:r>
      <w:r w:rsidR="0021555E">
        <w:instrText xml:space="preserve"> REF _Ref494406673 \r \h </w:instrText>
      </w:r>
      <w:r w:rsidR="0021555E">
        <w:fldChar w:fldCharType="separate"/>
      </w:r>
      <w:r w:rsidR="00AD2A97">
        <w:t>[6]</w:t>
      </w:r>
      <w:r w:rsidR="0021555E">
        <w:fldChar w:fldCharType="end"/>
      </w:r>
      <w:r w:rsidR="0021555E">
        <w:t xml:space="preserve"> provides detailed description of candidate schemes</w:t>
      </w:r>
      <w:r w:rsidR="00AD2A97">
        <w:t>, their pros and cons, and a complexity comparison</w:t>
      </w:r>
      <w:r w:rsidR="0021555E">
        <w:t>.</w:t>
      </w:r>
    </w:p>
    <w:p w:rsidR="0093521C" w:rsidRPr="009D3989" w:rsidRDefault="00AD2A97" w:rsidP="000F2286">
      <w:r w:rsidRPr="009D3989">
        <w:t xml:space="preserve">This contribution is revised from </w:t>
      </w:r>
      <w:r w:rsidR="0093521C" w:rsidRPr="009D3989">
        <w:t>R1-1720148</w:t>
      </w:r>
      <w:r w:rsidRPr="009D3989">
        <w:t>.</w:t>
      </w:r>
    </w:p>
    <w:p w:rsidR="00A81622" w:rsidRPr="009D3989" w:rsidRDefault="00A81622" w:rsidP="00A81622">
      <w:pPr>
        <w:pBdr>
          <w:bottom w:val="single" w:sz="12" w:space="1" w:color="auto"/>
        </w:pBdr>
      </w:pPr>
    </w:p>
    <w:p w:rsidR="00EA0674" w:rsidRPr="009D3989" w:rsidRDefault="0021555E" w:rsidP="00A81622">
      <w:pPr>
        <w:pStyle w:val="Titre1"/>
      </w:pPr>
      <w:r w:rsidRPr="009D3989">
        <w:t>Performance evaluations</w:t>
      </w:r>
    </w:p>
    <w:p w:rsidR="00AB53DB" w:rsidRPr="0073662B" w:rsidRDefault="00BD3F81" w:rsidP="00A81622">
      <w:r w:rsidRPr="009D3989">
        <w:t>In the contribution we</w:t>
      </w:r>
      <w:r w:rsidR="00A44684" w:rsidRPr="009D3989">
        <w:t xml:space="preserve"> investigate the following candidate techniques</w:t>
      </w:r>
      <w:r w:rsidR="0021555E" w:rsidRPr="009D3989">
        <w:t xml:space="preserve"> for sidelink communication</w:t>
      </w:r>
      <w:r w:rsidR="00A44684" w:rsidRPr="009D3989">
        <w:t xml:space="preserve">: </w:t>
      </w:r>
      <w:r w:rsidR="00B84A0B" w:rsidRPr="009D3989">
        <w:t xml:space="preserve">PAPR preserving SFBC, </w:t>
      </w:r>
      <w:r w:rsidR="00BA31A1" w:rsidRPr="009D3989">
        <w:t xml:space="preserve">pre-DFT STBC </w:t>
      </w:r>
      <w:r w:rsidR="00BA31A1" w:rsidRPr="009D3989">
        <w:fldChar w:fldCharType="begin"/>
      </w:r>
      <w:r w:rsidR="00BA31A1" w:rsidRPr="009D3989">
        <w:instrText xml:space="preserve"> REF _Ref498720732 \r \h </w:instrText>
      </w:r>
      <w:r w:rsidR="009B7A2E" w:rsidRPr="009D3989">
        <w:instrText xml:space="preserve"> \* MERGEFORMAT </w:instrText>
      </w:r>
      <w:r w:rsidR="00BA31A1" w:rsidRPr="009D3989">
        <w:fldChar w:fldCharType="separate"/>
      </w:r>
      <w:r w:rsidR="000C123C" w:rsidRPr="009D3989">
        <w:t>[9]</w:t>
      </w:r>
      <w:r w:rsidR="00BA31A1" w:rsidRPr="009D3989">
        <w:fldChar w:fldCharType="end"/>
      </w:r>
      <w:r w:rsidR="003D19BD" w:rsidRPr="009D3989">
        <w:t xml:space="preserve">, </w:t>
      </w:r>
      <w:r w:rsidR="00A44684" w:rsidRPr="009D3989">
        <w:t xml:space="preserve">short delay CDD, </w:t>
      </w:r>
      <w:r w:rsidR="003D19BD" w:rsidRPr="009D3989">
        <w:t xml:space="preserve">long delay CDD, PVS with different precoders, </w:t>
      </w:r>
      <w:r w:rsidR="00B84A0B" w:rsidRPr="009D3989">
        <w:t>SIMO reference</w:t>
      </w:r>
      <w:r w:rsidR="00A44684" w:rsidRPr="009D3989">
        <w:t>.</w:t>
      </w:r>
      <w:r w:rsidR="00B84A0B" w:rsidRPr="009D3989">
        <w:t xml:space="preserve"> In </w:t>
      </w:r>
      <w:r w:rsidR="00B84A0B" w:rsidRPr="009D3989">
        <w:fldChar w:fldCharType="begin"/>
      </w:r>
      <w:r w:rsidR="00B84A0B" w:rsidRPr="009D3989">
        <w:instrText xml:space="preserve"> REF _Ref494384543 \r \h  \* MERGEFORMAT </w:instrText>
      </w:r>
      <w:r w:rsidR="00B84A0B" w:rsidRPr="009D3989">
        <w:fldChar w:fldCharType="separate"/>
      </w:r>
      <w:r w:rsidR="000C123C" w:rsidRPr="009D3989">
        <w:t>[7]</w:t>
      </w:r>
      <w:r w:rsidR="00B84A0B" w:rsidRPr="009D3989">
        <w:fldChar w:fldCharType="end"/>
      </w:r>
      <w:r w:rsidR="00B84A0B" w:rsidRPr="009D3989">
        <w:t>, thorough performance comparison among</w:t>
      </w:r>
      <w:r w:rsidR="00A44684" w:rsidRPr="009D3989">
        <w:t xml:space="preserve"> </w:t>
      </w:r>
      <w:r w:rsidR="00B84A0B" w:rsidRPr="009D3989">
        <w:t>Alamouti-based transmit diversity (PAPR preserving SFBC, split symbol STBC), short delay CDD, and d</w:t>
      </w:r>
      <w:r w:rsidR="003D19BD" w:rsidRPr="009D3989">
        <w:t>ifferent types of time-domain P</w:t>
      </w:r>
      <w:r w:rsidR="00B84A0B" w:rsidRPr="009D3989">
        <w:t>V</w:t>
      </w:r>
      <w:r w:rsidR="003D19BD" w:rsidRPr="009D3989">
        <w:t>S</w:t>
      </w:r>
      <w:r w:rsidR="00B84A0B" w:rsidRPr="009D3989">
        <w:t xml:space="preserve"> (e.g. antenna port switching) is conducted in NR context in a large number of scenarios.</w:t>
      </w:r>
    </w:p>
    <w:p w:rsidR="00C445BD" w:rsidRPr="0073662B" w:rsidRDefault="00C445BD" w:rsidP="00A81622"/>
    <w:p w:rsidR="00F65FEC" w:rsidRPr="0073662B" w:rsidRDefault="00EA3318" w:rsidP="00A47724">
      <w:pPr>
        <w:pStyle w:val="Titre2"/>
      </w:pPr>
      <w:r>
        <w:t xml:space="preserve">Low PAPR </w:t>
      </w:r>
      <w:r w:rsidR="0021555E">
        <w:t>SC-SFBC</w:t>
      </w:r>
      <w:r w:rsidR="00B84A0B">
        <w:t xml:space="preserve"> brief review</w:t>
      </w:r>
    </w:p>
    <w:p w:rsidR="00AD2A97"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0C123C">
        <w:t>[5]</w:t>
      </w:r>
      <w:r w:rsidR="005D3AA1">
        <w:fldChar w:fldCharType="end"/>
      </w:r>
      <w:r w:rsidR="00CC2771">
        <w:t xml:space="preserve"> and thoroughly described in our </w:t>
      </w:r>
      <w:r w:rsidR="0021555E">
        <w:t xml:space="preserve">companion contribution </w:t>
      </w:r>
      <w:r w:rsidR="0021555E">
        <w:fldChar w:fldCharType="begin"/>
      </w:r>
      <w:r w:rsidR="0021555E">
        <w:instrText xml:space="preserve"> REF _Ref494406673 \r \h </w:instrText>
      </w:r>
      <w:r w:rsidR="0021555E">
        <w:fldChar w:fldCharType="separate"/>
      </w:r>
      <w:r w:rsidR="000C123C">
        <w:t>[6]</w:t>
      </w:r>
      <w:r w:rsidR="0021555E">
        <w:fldChar w:fldCharType="end"/>
      </w:r>
      <w:r w:rsidR="0021555E">
        <w:t xml:space="preserve">. It </w:t>
      </w:r>
      <w:r w:rsidR="00AD2A97">
        <w:t>has also been investigated</w:t>
      </w:r>
      <w:r w:rsidR="0021555E">
        <w:t xml:space="preserve"> for both PUSCH </w:t>
      </w:r>
      <w:r w:rsidR="0021555E">
        <w:fldChar w:fldCharType="begin"/>
      </w:r>
      <w:r w:rsidR="0021555E">
        <w:instrText xml:space="preserve"> REF _Ref494384543 \r \h </w:instrText>
      </w:r>
      <w:r w:rsidR="0021555E">
        <w:fldChar w:fldCharType="separate"/>
      </w:r>
      <w:r w:rsidR="000C123C">
        <w:t>[7]</w:t>
      </w:r>
      <w:r w:rsidR="0021555E">
        <w:fldChar w:fldCharType="end"/>
      </w:r>
      <w:r w:rsidR="0021555E">
        <w:t xml:space="preserve"> and PUCCH </w:t>
      </w:r>
      <w:r w:rsidR="0021555E">
        <w:fldChar w:fldCharType="begin"/>
      </w:r>
      <w:r w:rsidR="0021555E">
        <w:instrText xml:space="preserve"> REF _Ref494384545 \r \h </w:instrText>
      </w:r>
      <w:r w:rsidR="0021555E">
        <w:fldChar w:fldCharType="separate"/>
      </w:r>
      <w:r w:rsidR="000C123C">
        <w:t>[8]</w:t>
      </w:r>
      <w:r w:rsidR="0021555E">
        <w:fldChar w:fldCharType="end"/>
      </w:r>
      <w:r w:rsidR="0021555E">
        <w:t xml:space="preserve"> based on DFTsOFDM</w:t>
      </w:r>
      <w:r w:rsidR="00AD2A97" w:rsidRPr="00AD2A97">
        <w:t xml:space="preserve"> </w:t>
      </w:r>
      <w:r w:rsidR="00AD2A97">
        <w:t>in an NR context, where the discussion on transmit diversity was postponed until after having finalized the critical corrections to the Rel. 15 Early Drop</w:t>
      </w:r>
      <w:r w:rsidR="0021555E">
        <w:t xml:space="preserve">. </w:t>
      </w:r>
    </w:p>
    <w:p w:rsidR="00965FE1" w:rsidRPr="0073662B" w:rsidRDefault="00E74F8A" w:rsidP="00965FE1">
      <w:r w:rsidRPr="0073662B">
        <w:t>Alamouti precoding is applied at subcarrier level, after DFT precoding</w:t>
      </w:r>
      <w:r w:rsidR="00BD3F81">
        <w:t xml:space="preserve">, </w:t>
      </w:r>
      <w:r w:rsidRPr="0073662B">
        <w:t xml:space="preserve">as it can be seen in </w:t>
      </w:r>
      <w:r w:rsidR="005D3AA1">
        <w:fldChar w:fldCharType="begin"/>
      </w:r>
      <w:r w:rsidR="005D3AA1">
        <w:instrText xml:space="preserve"> REF _Ref468985453 \h  \* MERGEFORMAT </w:instrText>
      </w:r>
      <w:r w:rsidR="005D3AA1">
        <w:fldChar w:fldCharType="separate"/>
      </w:r>
      <w:r w:rsidR="000C123C" w:rsidRPr="0073662B">
        <w:t xml:space="preserve">Figure </w:t>
      </w:r>
      <w:r w:rsidR="000C123C">
        <w:t>1</w:t>
      </w:r>
      <w:r w:rsidR="005D3AA1">
        <w:fldChar w:fldCharType="end"/>
      </w:r>
      <w:r w:rsidRPr="0073662B">
        <w:t>. 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7pt" o:ole="">
            <v:imagedata r:id="rId8" o:title=""/>
          </v:shape>
          <o:OLEObject Type="Embed" ProgID="Equation.DSMT4" ShapeID="_x0000_i1025" DrawAspect="Content" ObjectID="_1580312093" r:id="rId9"/>
        </w:object>
      </w:r>
      <w:r w:rsidR="00BD3F81" w:rsidRPr="0073662B">
        <w:t xml:space="preserve">and </w:t>
      </w:r>
      <w:r w:rsidR="00BD3F81" w:rsidRPr="0073662B">
        <w:rPr>
          <w:position w:val="-14"/>
        </w:rPr>
        <w:object w:dxaOrig="2280" w:dyaOrig="400">
          <v:shape id="_x0000_i1026" type="#_x0000_t75" style="width:114.1pt;height:21.05pt" o:ole="">
            <v:imagedata r:id="rId10" o:title=""/>
          </v:shape>
          <o:OLEObject Type="Embed" ProgID="Equation.DSMT4" ShapeID="_x0000_i1026" DrawAspect="Content" ObjectID="_1580312094"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0C123C" w:rsidRPr="0073662B">
        <w:t xml:space="preserve">Figure </w:t>
      </w:r>
      <w:r w:rsidR="000C123C">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0C123C">
        <w:t>[5]</w:t>
      </w:r>
      <w:r w:rsidR="005D3AA1">
        <w:fldChar w:fldCharType="end"/>
      </w:r>
      <w:r w:rsidR="0041189B" w:rsidRPr="0073662B">
        <w:t>.</w:t>
      </w:r>
      <w:r w:rsidR="0021555E">
        <w:t xml:space="preserve"> Thorough description can be found in the companion contribution </w:t>
      </w:r>
      <w:r w:rsidR="0021555E">
        <w:fldChar w:fldCharType="begin"/>
      </w:r>
      <w:r w:rsidR="0021555E">
        <w:instrText xml:space="preserve"> REF _Ref494406673 \r \h </w:instrText>
      </w:r>
      <w:r w:rsidR="0021555E">
        <w:fldChar w:fldCharType="separate"/>
      </w:r>
      <w:r w:rsidR="000C123C">
        <w:t>[6]</w:t>
      </w:r>
      <w:r w:rsidR="0021555E">
        <w:fldChar w:fldCharType="end"/>
      </w:r>
      <w:r w:rsidR="0021555E">
        <w:t>, where it is also shown that this scheme preserves the PAPR of DFTsOFDM.</w:t>
      </w:r>
    </w:p>
    <w:p w:rsidR="00E74F8A" w:rsidRPr="0073662B" w:rsidRDefault="00E863E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C123C" w:rsidRPr="00E13757" w:rsidRDefault="000C123C"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0C123C" w:rsidRPr="00E13757" w:rsidRDefault="000C123C"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0" w:name="_Ref468985453"/>
      <w:r w:rsidRPr="0073662B">
        <w:t xml:space="preserve">Figure </w:t>
      </w:r>
      <w:r w:rsidR="000C123C">
        <w:fldChar w:fldCharType="begin"/>
      </w:r>
      <w:r w:rsidR="000C123C">
        <w:instrText xml:space="preserve"> SEQ Figure \* ARABIC </w:instrText>
      </w:r>
      <w:r w:rsidR="000C123C">
        <w:fldChar w:fldCharType="separate"/>
      </w:r>
      <w:r w:rsidR="000C123C">
        <w:rPr>
          <w:noProof/>
        </w:rPr>
        <w:t>1</w:t>
      </w:r>
      <w:r w:rsidR="000C123C">
        <w:rPr>
          <w:noProof/>
        </w:rPr>
        <w:fldChar w:fldCharType="end"/>
      </w:r>
      <w:bookmarkEnd w:id="0"/>
      <w:r w:rsidRPr="0073662B">
        <w:t xml:space="preserve"> </w:t>
      </w:r>
      <w:r w:rsidR="00E13757" w:rsidRPr="0073662B">
        <w:t xml:space="preserve">- </w:t>
      </w:r>
      <w:r w:rsidRPr="0073662B">
        <w:t xml:space="preserve">SFBC for DFTsOFDM </w:t>
      </w:r>
    </w:p>
    <w:p w:rsidR="00E74F8A" w:rsidRPr="0073662B" w:rsidRDefault="00E74F8A" w:rsidP="0041189B">
      <w:pPr>
        <w:jc w:val="center"/>
      </w:pPr>
      <w:r w:rsidRPr="0073662B">
        <w:rPr>
          <w:noProof/>
          <w:lang w:val="fr-FR" w:eastAsia="fr-FR"/>
        </w:rPr>
        <w:lastRenderedPageBreak/>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13"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1" w:name="_Ref468985465"/>
      <w:r w:rsidRPr="0073662B">
        <w:t xml:space="preserve">Figure </w:t>
      </w:r>
      <w:r w:rsidR="000C123C">
        <w:fldChar w:fldCharType="begin"/>
      </w:r>
      <w:r w:rsidR="000C123C">
        <w:instrText xml:space="preserve"> SEQ Figure \* ARABIC </w:instrText>
      </w:r>
      <w:r w:rsidR="000C123C">
        <w:fldChar w:fldCharType="separate"/>
      </w:r>
      <w:r w:rsidR="000C123C">
        <w:rPr>
          <w:noProof/>
        </w:rPr>
        <w:t>2</w:t>
      </w:r>
      <w:r w:rsidR="000C123C">
        <w:rPr>
          <w:noProof/>
        </w:rPr>
        <w:fldChar w:fldCharType="end"/>
      </w:r>
      <w:bookmarkEnd w:id="1"/>
      <w:r w:rsidR="00E13757" w:rsidRPr="0073662B">
        <w:t xml:space="preserve"> - </w:t>
      </w:r>
      <w:r w:rsidR="00501E73" w:rsidRPr="0073662B">
        <w:t xml:space="preserve">Mapping of Alamouti pairs </w:t>
      </w:r>
      <w:r w:rsidRPr="0073662B">
        <w:t>to subcarriers for PAPR preserving SFBC in DFTsOFDM</w:t>
      </w:r>
    </w:p>
    <w:p w:rsidR="00BD3F81" w:rsidRPr="0021555E" w:rsidRDefault="00277E2E" w:rsidP="000826B4">
      <w:r w:rsidRPr="0021555E">
        <w:t>SC-SFBC has the following advantages:</w:t>
      </w:r>
    </w:p>
    <w:p w:rsidR="00BD3F81" w:rsidRPr="0021555E" w:rsidRDefault="00BD3F81" w:rsidP="00175C63">
      <w:pPr>
        <w:pStyle w:val="Paragraphedeliste"/>
        <w:numPr>
          <w:ilvl w:val="0"/>
          <w:numId w:val="8"/>
        </w:numPr>
        <w:ind w:leftChars="0"/>
      </w:pPr>
      <w:r w:rsidRPr="0021555E">
        <w:t>PAPR preserv</w:t>
      </w:r>
      <w:r w:rsidR="00AD2A97">
        <w:t>ing for all constellation types</w:t>
      </w:r>
      <w:r w:rsidRPr="0021555E">
        <w:t xml:space="preserve"> </w:t>
      </w:r>
      <w:r w:rsidR="00AD2A97">
        <w:t>(</w:t>
      </w:r>
      <w:r w:rsidRPr="0021555E">
        <w:t xml:space="preserve">including BPSK pi/2 with </w:t>
      </w:r>
      <w:r w:rsidR="00F9786F" w:rsidRPr="0021555E">
        <w:t>or</w:t>
      </w:r>
      <w:r w:rsidRPr="0021555E">
        <w:t xml:space="preserve"> without frequency domain pulse shaping</w:t>
      </w:r>
      <w:r w:rsidR="00AD2A97">
        <w:t>)</w:t>
      </w:r>
    </w:p>
    <w:p w:rsidR="00BD3F81" w:rsidRPr="0021555E" w:rsidRDefault="00DC1EC2" w:rsidP="00175C63">
      <w:pPr>
        <w:pStyle w:val="Paragraphedeliste"/>
        <w:numPr>
          <w:ilvl w:val="0"/>
          <w:numId w:val="8"/>
        </w:numPr>
        <w:ind w:leftChars="0"/>
      </w:pPr>
      <w:r w:rsidRPr="0021555E">
        <w:t xml:space="preserve">operating on single symbol DFTsOFDM, </w:t>
      </w:r>
    </w:p>
    <w:p w:rsidR="00BD3F81" w:rsidRPr="0021555E" w:rsidRDefault="00DC1EC2" w:rsidP="00175C63">
      <w:pPr>
        <w:pStyle w:val="Paragraphedeliste"/>
        <w:numPr>
          <w:ilvl w:val="0"/>
          <w:numId w:val="8"/>
        </w:numPr>
        <w:ind w:leftChars="0"/>
      </w:pPr>
      <w:r w:rsidRPr="0021555E">
        <w:t>full diversity achieving</w:t>
      </w:r>
      <w:r w:rsidR="00C319B4" w:rsidRPr="0021555E">
        <w:t>,</w:t>
      </w:r>
      <w:r w:rsidRPr="0021555E">
        <w:t xml:space="preserve"> </w:t>
      </w:r>
    </w:p>
    <w:p w:rsidR="00C80102" w:rsidRPr="0021555E" w:rsidRDefault="00DC1EC2" w:rsidP="00175C63">
      <w:pPr>
        <w:pStyle w:val="Paragraphedeliste"/>
        <w:numPr>
          <w:ilvl w:val="0"/>
          <w:numId w:val="8"/>
        </w:numPr>
        <w:ind w:leftChars="0"/>
      </w:pPr>
      <w:r w:rsidRPr="0021555E">
        <w:t>with low-complexity frequency-domain decoding at subcarrier level.</w:t>
      </w:r>
    </w:p>
    <w:p w:rsidR="00257034" w:rsidRPr="00257034" w:rsidRDefault="00257034" w:rsidP="00257034"/>
    <w:p w:rsidR="00324558" w:rsidRDefault="00CF59A7" w:rsidP="00CF59A7">
      <w:pPr>
        <w:pStyle w:val="Titre2"/>
      </w:pPr>
      <w:r>
        <w:t>PSSCH evaluation</w:t>
      </w:r>
    </w:p>
    <w:p w:rsidR="00160772" w:rsidRPr="009B7A2E" w:rsidRDefault="00160772" w:rsidP="00160772">
      <w:r>
        <w:t xml:space="preserve">In the following, </w:t>
      </w:r>
      <w:r w:rsidRPr="0073662B">
        <w:t xml:space="preserve">SFBC is only given as a FER performance reference and is not proposed to be used for DFTsOFDM as it engenders </w:t>
      </w:r>
      <w:r w:rsidRPr="009B7A2E">
        <w:t>around 1dB PAPR loss at CCDF target 10</w:t>
      </w:r>
      <w:r w:rsidRPr="009B7A2E">
        <w:rPr>
          <w:vertAlign w:val="superscript"/>
        </w:rPr>
        <w:t>-4</w:t>
      </w:r>
      <w:r w:rsidRPr="009B7A2E">
        <w:t xml:space="preserve">. </w:t>
      </w:r>
    </w:p>
    <w:p w:rsidR="00BA31A1" w:rsidRDefault="005D3AA1" w:rsidP="005624D8">
      <w:pPr>
        <w:shd w:val="clear" w:color="auto" w:fill="FFFFFF" w:themeFill="background1"/>
      </w:pPr>
      <w:r w:rsidRPr="009D3989">
        <w:fldChar w:fldCharType="begin"/>
      </w:r>
      <w:r w:rsidRPr="009D3989">
        <w:instrText xml:space="preserve"> REF _Ref471405472 \h  \* MERGEFORMAT </w:instrText>
      </w:r>
      <w:r w:rsidRPr="009D3989">
        <w:fldChar w:fldCharType="separate"/>
      </w:r>
      <w:r w:rsidR="000C123C" w:rsidRPr="009D3989">
        <w:t>Figure 3</w:t>
      </w:r>
      <w:r w:rsidRPr="009D3989">
        <w:fldChar w:fldCharType="end"/>
      </w:r>
      <w:r w:rsidR="00A5442C" w:rsidRPr="009D3989">
        <w:t xml:space="preserve"> presents comparative performance of </w:t>
      </w:r>
      <w:r w:rsidR="00BA31A1" w:rsidRPr="009D3989">
        <w:t xml:space="preserve">PAPR preserving SFBC, pre-DFT STBC, short delay CDD, long delay CDD, PVS with different precoders and SIMO </w:t>
      </w:r>
      <w:r w:rsidR="00A5442C" w:rsidRPr="009D3989">
        <w:t xml:space="preserve">transmission </w:t>
      </w:r>
      <w:r w:rsidR="00A3489A" w:rsidRPr="009D3989">
        <w:t>in a simulation setup in conformity with the current V2X agreements</w:t>
      </w:r>
      <w:r w:rsidR="002D60EA" w:rsidRPr="009D3989">
        <w:t xml:space="preserve"> (see Annex)</w:t>
      </w:r>
      <w:r w:rsidR="00A3489A" w:rsidRPr="009D3989">
        <w:t>, for QPSK ½ and 16QAM ½.</w:t>
      </w:r>
      <w:r w:rsidR="00A3489A">
        <w:t xml:space="preserve"> </w:t>
      </w:r>
    </w:p>
    <w:p w:rsidR="0007135A" w:rsidRDefault="00BA31A1" w:rsidP="005624D8">
      <w:pPr>
        <w:shd w:val="clear" w:color="auto" w:fill="FFFFFF" w:themeFill="background1"/>
      </w:pPr>
      <w:r>
        <w:t xml:space="preserve">PAPR preserving SC-SFBC is implemented as described in </w:t>
      </w:r>
      <w:r>
        <w:fldChar w:fldCharType="begin"/>
      </w:r>
      <w:r>
        <w:instrText xml:space="preserve"> REF _Ref494406673 \r \h </w:instrText>
      </w:r>
      <w:r>
        <w:fldChar w:fldCharType="separate"/>
      </w:r>
      <w:r w:rsidR="000C123C">
        <w:t>[6]</w:t>
      </w:r>
      <w:r>
        <w:fldChar w:fldCharType="end"/>
      </w:r>
      <w:r w:rsidR="00A3489A">
        <w:t>.</w:t>
      </w:r>
      <w:r w:rsidR="00183B5B">
        <w:t xml:space="preserve"> </w:t>
      </w:r>
      <w:r>
        <w:t>A classical SFBC MMSE receiver is applied at the receiver side, since the only difference with classical SFBC is the subcarrier mapping order.</w:t>
      </w:r>
      <w:r w:rsidR="000169BB">
        <w:t xml:space="preserve"> This MMSE receiver is low complexity, applied onto pairs of subcarriers involved in Alamouti precoding (involves an order 2 matrix inversion). Note that for classical SFBC evaluations the same MMSE receiver was also used, since it achieves better performance on frequency selective channels than the MRC receiver.</w:t>
      </w:r>
    </w:p>
    <w:p w:rsidR="00BA31A1" w:rsidRDefault="00BA31A1" w:rsidP="005624D8">
      <w:pPr>
        <w:shd w:val="clear" w:color="auto" w:fill="FFFFFF" w:themeFill="background1"/>
      </w:pPr>
      <w:r>
        <w:t xml:space="preserve">For pre-DFT STBC, Alamouti is applied within one single DFTsOFDM symbol before the DFT, among the two symbol halves. Both transmitter and receiver are more complex than in the SFBC case. The simulations were performed in an optimistic scenario for this scheme: the channel is considered static during the transmission of a DFTsOFDM symbol and Doppler effect is only visible between successive DFTsOFDM symbols. </w:t>
      </w:r>
      <w:r w:rsidR="000169BB">
        <w:t>Thus, some time diversity is achieved while the</w:t>
      </w:r>
      <w:r>
        <w:t xml:space="preserve"> orthogonality loss due to the channel change between the first and second symbol halves containing Alamouti pairs is neglected.</w:t>
      </w:r>
    </w:p>
    <w:p w:rsidR="00BA31A1" w:rsidRDefault="00BA31A1" w:rsidP="005624D8">
      <w:pPr>
        <w:shd w:val="clear" w:color="auto" w:fill="FFFFFF" w:themeFill="background1"/>
      </w:pPr>
      <w:r>
        <w:t>Short delay CDD considers a cyclic shift of 2 samples, and long delay CDD is considered with ½ OFDM symbol shift.</w:t>
      </w:r>
    </w:p>
    <w:p w:rsidR="00A3489A" w:rsidRDefault="000169BB" w:rsidP="005624D8">
      <w:pPr>
        <w:shd w:val="clear" w:color="auto" w:fill="FFFFFF" w:themeFill="background1"/>
      </w:pPr>
      <w:r>
        <w:t xml:space="preserve">Within-slot </w:t>
      </w:r>
      <w:r w:rsidR="00BA31A1">
        <w:t xml:space="preserve">PVS with transparent DMRS (equivalent to antenna switching) </w:t>
      </w:r>
      <w:r w:rsidR="00A3489A">
        <w:t xml:space="preserve">has obvious </w:t>
      </w:r>
      <w:r w:rsidR="00183B5B">
        <w:t>drawbacks</w:t>
      </w:r>
      <w:r w:rsidR="00A3489A">
        <w:t xml:space="preserve"> in </w:t>
      </w:r>
      <w:r w:rsidR="00183B5B">
        <w:t xml:space="preserve">high speed scenarios as explained in </w:t>
      </w:r>
      <w:r w:rsidR="00183B5B">
        <w:fldChar w:fldCharType="begin"/>
      </w:r>
      <w:r w:rsidR="00183B5B">
        <w:instrText xml:space="preserve"> REF _Ref494406673 \r \h </w:instrText>
      </w:r>
      <w:r w:rsidR="00183B5B">
        <w:fldChar w:fldCharType="separate"/>
      </w:r>
      <w:r w:rsidR="000C123C">
        <w:t>[6]</w:t>
      </w:r>
      <w:r w:rsidR="00183B5B">
        <w:fldChar w:fldCharType="end"/>
      </w:r>
      <w:r w:rsidR="00183B5B">
        <w:t xml:space="preserve"> and confirmed through simulation in </w:t>
      </w:r>
      <w:r w:rsidR="00183B5B">
        <w:fldChar w:fldCharType="begin"/>
      </w:r>
      <w:r w:rsidR="00183B5B">
        <w:instrText xml:space="preserve"> REF _Ref494384543 \r \h </w:instrText>
      </w:r>
      <w:r w:rsidR="00183B5B">
        <w:fldChar w:fldCharType="separate"/>
      </w:r>
      <w:r w:rsidR="000C123C">
        <w:t>[7]</w:t>
      </w:r>
      <w:r w:rsidR="00183B5B">
        <w:fldChar w:fldCharType="end"/>
      </w:r>
      <w:r w:rsidR="00183B5B">
        <w:t xml:space="preserve">, and will not be further investigated here. </w:t>
      </w:r>
    </w:p>
    <w:p w:rsidR="00BA31A1" w:rsidRDefault="00BA31A1" w:rsidP="00BA31A1">
      <w:pPr>
        <w:shd w:val="clear" w:color="auto" w:fill="FFFFFF" w:themeFill="background1"/>
      </w:pPr>
      <w:r>
        <w:t xml:space="preserve">We considered different time domain precoders for PVS with non-transparent DMRS, where channel tracking can be made at the receiver side. </w:t>
      </w:r>
    </w:p>
    <w:p w:rsidR="00BA31A1" w:rsidRDefault="000169BB" w:rsidP="005624D8">
      <w:pPr>
        <w:shd w:val="clear" w:color="auto" w:fill="FFFFFF" w:themeFill="background1"/>
      </w:pPr>
      <w:r>
        <w:t>For all investigated methods we have simulated a new channel draw at every slot change, which is equivalent to applying across slot PVS on top of within-slot transmit diversity.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3A4E" w:rsidRPr="009D3989" w:rsidTr="00A47724">
        <w:tc>
          <w:tcPr>
            <w:tcW w:w="4981" w:type="dxa"/>
          </w:tcPr>
          <w:p w:rsidR="001D3A4E" w:rsidRPr="009D3989" w:rsidRDefault="003F779C" w:rsidP="005624D8">
            <w:pPr>
              <w:shd w:val="clear" w:color="auto" w:fill="FFFFFF" w:themeFill="background1"/>
            </w:pPr>
            <w:r w:rsidRPr="009D3989">
              <w:rPr>
                <w:noProof/>
                <w:lang w:val="fr-FR" w:eastAsia="fr-FR"/>
              </w:rPr>
              <w:lastRenderedPageBreak/>
              <w:drawing>
                <wp:inline distT="0" distB="0" distL="0" distR="0">
                  <wp:extent cx="3294000" cy="3420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94000" cy="3420000"/>
                          </a:xfrm>
                          <a:prstGeom prst="rect">
                            <a:avLst/>
                          </a:prstGeom>
                          <a:noFill/>
                          <a:ln>
                            <a:noFill/>
                          </a:ln>
                        </pic:spPr>
                      </pic:pic>
                    </a:graphicData>
                  </a:graphic>
                </wp:inline>
              </w:drawing>
            </w:r>
          </w:p>
          <w:p w:rsidR="001D3A4E" w:rsidRPr="009D3989" w:rsidRDefault="00B84A0B" w:rsidP="00175C63">
            <w:pPr>
              <w:pStyle w:val="Paragraphedeliste"/>
              <w:numPr>
                <w:ilvl w:val="0"/>
                <w:numId w:val="7"/>
              </w:numPr>
              <w:shd w:val="clear" w:color="auto" w:fill="FFFFFF" w:themeFill="background1"/>
              <w:ind w:leftChars="0"/>
              <w:jc w:val="center"/>
            </w:pPr>
            <w:r w:rsidRPr="009D3989">
              <w:t xml:space="preserve">QPSK ½, </w:t>
            </w:r>
            <w:r w:rsidR="003F779C" w:rsidRPr="009D3989">
              <w:t>1000ns, 10RB, 60kmph</w:t>
            </w:r>
          </w:p>
        </w:tc>
        <w:tc>
          <w:tcPr>
            <w:tcW w:w="4981" w:type="dxa"/>
          </w:tcPr>
          <w:p w:rsidR="001D3A4E" w:rsidRPr="009D3989" w:rsidRDefault="00BF54A4" w:rsidP="005624D8">
            <w:pPr>
              <w:shd w:val="clear" w:color="auto" w:fill="FFFFFF" w:themeFill="background1"/>
            </w:pPr>
            <w:r w:rsidRPr="009D3989">
              <w:rPr>
                <w:noProof/>
                <w:lang w:val="fr-FR" w:eastAsia="fr-FR"/>
              </w:rPr>
              <w:drawing>
                <wp:inline distT="0" distB="0" distL="0" distR="0">
                  <wp:extent cx="3294000" cy="34200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94000" cy="3420000"/>
                          </a:xfrm>
                          <a:prstGeom prst="rect">
                            <a:avLst/>
                          </a:prstGeom>
                          <a:noFill/>
                          <a:ln>
                            <a:noFill/>
                          </a:ln>
                        </pic:spPr>
                      </pic:pic>
                    </a:graphicData>
                  </a:graphic>
                </wp:inline>
              </w:drawing>
            </w:r>
          </w:p>
          <w:p w:rsidR="001D3A4E" w:rsidRPr="009D3989" w:rsidRDefault="00B84A0B" w:rsidP="00175C63">
            <w:pPr>
              <w:pStyle w:val="Paragraphedeliste"/>
              <w:keepNext/>
              <w:numPr>
                <w:ilvl w:val="0"/>
                <w:numId w:val="7"/>
              </w:numPr>
              <w:shd w:val="clear" w:color="auto" w:fill="FFFFFF" w:themeFill="background1"/>
              <w:ind w:leftChars="0"/>
              <w:jc w:val="center"/>
            </w:pPr>
            <w:r w:rsidRPr="009D3989">
              <w:t xml:space="preserve">16QAM ½, </w:t>
            </w:r>
            <w:r w:rsidR="00BF54A4" w:rsidRPr="009D3989">
              <w:t>300ns, 8RB, 60kmpk</w:t>
            </w:r>
          </w:p>
        </w:tc>
      </w:tr>
    </w:tbl>
    <w:p w:rsidR="001D3A4E" w:rsidRPr="00B84A0B" w:rsidRDefault="001D3A4E" w:rsidP="005624D8">
      <w:pPr>
        <w:pStyle w:val="Lgende"/>
        <w:shd w:val="clear" w:color="auto" w:fill="FFFFFF" w:themeFill="background1"/>
        <w:jc w:val="center"/>
      </w:pPr>
      <w:bookmarkStart w:id="2" w:name="_Ref471405472"/>
      <w:r w:rsidRPr="009D3989">
        <w:t xml:space="preserve">Figure </w:t>
      </w:r>
      <w:r w:rsidR="000C123C" w:rsidRPr="009D3989">
        <w:fldChar w:fldCharType="begin"/>
      </w:r>
      <w:r w:rsidR="000C123C" w:rsidRPr="009D3989">
        <w:instrText xml:space="preserve"> SEQ Figure \* ARABIC </w:instrText>
      </w:r>
      <w:r w:rsidR="000C123C" w:rsidRPr="009D3989">
        <w:fldChar w:fldCharType="separate"/>
      </w:r>
      <w:r w:rsidR="000C123C" w:rsidRPr="009D3989">
        <w:rPr>
          <w:noProof/>
        </w:rPr>
        <w:t>3</w:t>
      </w:r>
      <w:r w:rsidR="000C123C" w:rsidRPr="009D3989">
        <w:rPr>
          <w:noProof/>
        </w:rPr>
        <w:fldChar w:fldCharType="end"/>
      </w:r>
      <w:bookmarkEnd w:id="2"/>
      <w:r w:rsidR="00B84A0B" w:rsidRPr="009D3989">
        <w:t xml:space="preserve"> - Fc=6</w:t>
      </w:r>
      <w:r w:rsidRPr="009D3989">
        <w:t xml:space="preserve">GHz, </w:t>
      </w:r>
      <w:r w:rsidR="003F779C" w:rsidRPr="009D3989">
        <w:rPr>
          <w:sz w:val="22"/>
          <w:szCs w:val="22"/>
        </w:rPr>
        <w:t>ITU UMi NLOS CDL</w:t>
      </w:r>
      <w:r w:rsidR="00B84A0B" w:rsidRPr="009D3989">
        <w:rPr>
          <w:sz w:val="22"/>
          <w:szCs w:val="22"/>
        </w:rPr>
        <w:t xml:space="preserve">, </w:t>
      </w:r>
      <w:r w:rsidR="00B84A0B" w:rsidRPr="009D3989">
        <w:rPr>
          <w:rFonts w:eastAsia="MS Mincho"/>
          <w:lang w:val="en-GB"/>
        </w:rPr>
        <w:t>0.1 PPM for TX and -0.1 PPM for RX w.r.t. UE’s sync reference</w:t>
      </w:r>
    </w:p>
    <w:p w:rsidR="006C2369" w:rsidRDefault="006C2369" w:rsidP="00B21981">
      <w:pPr>
        <w:shd w:val="clear" w:color="auto" w:fill="FFFFFF" w:themeFill="background1"/>
      </w:pPr>
    </w:p>
    <w:p w:rsidR="006C2369" w:rsidRDefault="006C2369" w:rsidP="00B21981">
      <w:pPr>
        <w:shd w:val="clear" w:color="auto" w:fill="FFFFFF" w:themeFill="background1"/>
      </w:pPr>
      <w:r>
        <w:t xml:space="preserve">We have investigated the proposed schemes in a large number of scenarios. An example is given in </w:t>
      </w:r>
      <w:r>
        <w:fldChar w:fldCharType="begin"/>
      </w:r>
      <w:r>
        <w:instrText xml:space="preserve"> REF _Ref471405472 \h </w:instrText>
      </w:r>
      <w:r>
        <w:fldChar w:fldCharType="separate"/>
      </w:r>
      <w:r w:rsidR="000C123C" w:rsidRPr="006C2369">
        <w:t xml:space="preserve">Figure </w:t>
      </w:r>
      <w:r w:rsidR="000C123C">
        <w:rPr>
          <w:noProof/>
        </w:rPr>
        <w:t>3</w:t>
      </w:r>
      <w:r>
        <w:fldChar w:fldCharType="end"/>
      </w:r>
      <w:r>
        <w:t xml:space="preserve"> and full results are summarized in </w:t>
      </w:r>
      <w:r>
        <w:fldChar w:fldCharType="begin"/>
      </w:r>
      <w:r>
        <w:instrText xml:space="preserve"> REF _Ref498724653 \h </w:instrText>
      </w:r>
      <w:r>
        <w:fldChar w:fldCharType="separate"/>
      </w:r>
      <w:r w:rsidR="000C123C">
        <w:t xml:space="preserve">Table </w:t>
      </w:r>
      <w:r w:rsidR="000C123C">
        <w:rPr>
          <w:noProof/>
        </w:rPr>
        <w:t>1</w:t>
      </w:r>
      <w:r>
        <w:fldChar w:fldCharType="end"/>
      </w:r>
      <w:r>
        <w:t xml:space="preserve">and </w:t>
      </w:r>
      <w:r>
        <w:fldChar w:fldCharType="begin"/>
      </w:r>
      <w:r>
        <w:instrText xml:space="preserve"> REF _Ref498724655 \h </w:instrText>
      </w:r>
      <w:r>
        <w:fldChar w:fldCharType="separate"/>
      </w:r>
      <w:r w:rsidR="000C123C">
        <w:t xml:space="preserve">Table </w:t>
      </w:r>
      <w:r w:rsidR="000C123C">
        <w:rPr>
          <w:noProof/>
        </w:rPr>
        <w:t>2</w:t>
      </w:r>
      <w:r>
        <w:fldChar w:fldCharType="end"/>
      </w:r>
      <w:r>
        <w:t xml:space="preserve">. </w:t>
      </w:r>
      <w:r>
        <w:fldChar w:fldCharType="begin"/>
      </w:r>
      <w:r>
        <w:instrText xml:space="preserve"> REF _Ref498724653 \h </w:instrText>
      </w:r>
      <w:r>
        <w:fldChar w:fldCharType="separate"/>
      </w:r>
      <w:r w:rsidR="000C123C">
        <w:t xml:space="preserve">Table </w:t>
      </w:r>
      <w:r w:rsidR="000C123C">
        <w:rPr>
          <w:noProof/>
        </w:rPr>
        <w:t>1</w:t>
      </w:r>
      <w:r>
        <w:fldChar w:fldCharType="end"/>
      </w:r>
      <w:r>
        <w:t xml:space="preserve">and </w:t>
      </w:r>
      <w:r>
        <w:fldChar w:fldCharType="begin"/>
      </w:r>
      <w:r>
        <w:instrText xml:space="preserve"> REF _Ref498724655 \h </w:instrText>
      </w:r>
      <w:r>
        <w:fldChar w:fldCharType="separate"/>
      </w:r>
      <w:r w:rsidR="000C123C">
        <w:t xml:space="preserve">Table </w:t>
      </w:r>
      <w:r w:rsidR="000C123C">
        <w:rPr>
          <w:noProof/>
        </w:rPr>
        <w:t>2</w:t>
      </w:r>
      <w:r>
        <w:fldChar w:fldCharType="end"/>
      </w:r>
      <w:r>
        <w:t xml:space="preserve"> summarize the gain of SC-SFBC (in dB, understood as SNR gain at target FER=10</w:t>
      </w:r>
      <w:r w:rsidRPr="006C2369">
        <w:rPr>
          <w:vertAlign w:val="superscript"/>
        </w:rPr>
        <w:t>-1</w:t>
      </w:r>
      <w:r>
        <w:t>) over the other transmit diversity schemes for QPSK and 16QAM respectively. The color code in the tables is used to indicate:</w:t>
      </w:r>
    </w:p>
    <w:p w:rsidR="006C2369" w:rsidRDefault="006C2369" w:rsidP="00175C63">
      <w:pPr>
        <w:pStyle w:val="Paragraphedeliste"/>
        <w:numPr>
          <w:ilvl w:val="0"/>
          <w:numId w:val="8"/>
        </w:numPr>
        <w:shd w:val="clear" w:color="auto" w:fill="FFFFFF" w:themeFill="background1"/>
        <w:ind w:leftChars="0"/>
      </w:pPr>
      <w:r>
        <w:t xml:space="preserve">in </w:t>
      </w:r>
      <w:r w:rsidRPr="006C2369">
        <w:rPr>
          <w:color w:val="E36C0A" w:themeColor="accent6" w:themeShade="BF"/>
        </w:rPr>
        <w:t>orange</w:t>
      </w:r>
      <w:r>
        <w:t xml:space="preserve">, the cases where competing scheme has </w:t>
      </w:r>
      <w:r w:rsidRPr="006C2369">
        <w:rPr>
          <w:color w:val="E36C0A" w:themeColor="accent6" w:themeShade="BF"/>
        </w:rPr>
        <w:t xml:space="preserve">performance close to SC-SFBC </w:t>
      </w:r>
      <w:r>
        <w:t xml:space="preserve">(less than 0.5dB difference) </w:t>
      </w:r>
    </w:p>
    <w:p w:rsidR="006C2369" w:rsidRDefault="006C2369" w:rsidP="00175C63">
      <w:pPr>
        <w:pStyle w:val="Paragraphedeliste"/>
        <w:numPr>
          <w:ilvl w:val="0"/>
          <w:numId w:val="8"/>
        </w:numPr>
        <w:shd w:val="clear" w:color="auto" w:fill="FFFFFF" w:themeFill="background1"/>
        <w:ind w:leftChars="0"/>
      </w:pPr>
      <w:r>
        <w:t xml:space="preserve">in </w:t>
      </w:r>
      <w:r w:rsidRPr="006C2369">
        <w:rPr>
          <w:color w:val="FF0000"/>
        </w:rPr>
        <w:t>red</w:t>
      </w:r>
      <w:r>
        <w:t xml:space="preserve">, the cases where competing scheme has performance </w:t>
      </w:r>
      <w:r w:rsidRPr="006C2369">
        <w:rPr>
          <w:color w:val="FF0000"/>
        </w:rPr>
        <w:t>significantly worse than SC-SFBC</w:t>
      </w:r>
    </w:p>
    <w:p w:rsidR="006C2369" w:rsidRPr="00273C94" w:rsidRDefault="006C2369" w:rsidP="00175C63">
      <w:pPr>
        <w:pStyle w:val="Paragraphedeliste"/>
        <w:numPr>
          <w:ilvl w:val="0"/>
          <w:numId w:val="8"/>
        </w:numPr>
        <w:shd w:val="clear" w:color="auto" w:fill="FFFFFF" w:themeFill="background1"/>
        <w:ind w:leftChars="0"/>
      </w:pPr>
      <w:r>
        <w:t xml:space="preserve">in </w:t>
      </w:r>
      <w:r w:rsidRPr="006C2369">
        <w:rPr>
          <w:color w:val="00B050"/>
        </w:rPr>
        <w:t>green</w:t>
      </w:r>
      <w:r>
        <w:t xml:space="preserve">, the cases where competing scheme has </w:t>
      </w:r>
      <w:r w:rsidRPr="006C2369">
        <w:rPr>
          <w:color w:val="00B050"/>
        </w:rPr>
        <w:t>performance gain over SC-SFBC</w:t>
      </w:r>
    </w:p>
    <w:p w:rsidR="009D3989" w:rsidRDefault="009D3989" w:rsidP="009D3989">
      <w:pPr>
        <w:shd w:val="clear" w:color="auto" w:fill="FFFFFF" w:themeFill="background1"/>
      </w:pPr>
    </w:p>
    <w:p w:rsidR="009D3989" w:rsidRDefault="009D3989" w:rsidP="009D3989">
      <w:pPr>
        <w:shd w:val="clear" w:color="auto" w:fill="FFFFFF" w:themeFill="background1"/>
      </w:pPr>
      <w:r w:rsidRPr="0073662B">
        <w:t>CDD is easy to implement and can be transparent to the receiver</w:t>
      </w:r>
      <w:r>
        <w:t xml:space="preserve"> in the case of short delay CDD</w:t>
      </w:r>
      <w:r w:rsidRPr="0073662B">
        <w:t xml:space="preserve"> </w:t>
      </w:r>
      <w:r>
        <w:t xml:space="preserve">(SD-CDD). </w:t>
      </w:r>
      <w:r w:rsidRPr="0073662B">
        <w:t>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r>
        <w:t xml:space="preserve"> </w:t>
      </w:r>
    </w:p>
    <w:p w:rsidR="009D3989" w:rsidRPr="006C2369" w:rsidRDefault="009D3989" w:rsidP="009D3989">
      <w:pPr>
        <w:shd w:val="clear" w:color="auto" w:fill="FFFFFF" w:themeFill="background1"/>
        <w:rPr>
          <w:rFonts w:ascii="Calibri" w:eastAsia="Calibri" w:hAnsi="Calibri"/>
          <w:sz w:val="22"/>
          <w:szCs w:val="22"/>
          <w:lang w:eastAsia="en-US"/>
        </w:rPr>
      </w:pPr>
      <w:r>
        <w:t>SC-SFBC has similar performance with classical SFBC, the penalty due to precoding onto non-adjacent subcarriers being small even on very dispersive channels and with large band allocations. Considering the fact that SC-SFBC is PAPR preserving, while SFBC brings up to 1dB of PAPR loss, SC-SFBC is preferred.</w:t>
      </w:r>
    </w:p>
    <w:p w:rsidR="009D3989" w:rsidRDefault="009D3989" w:rsidP="009D3989">
      <w:pPr>
        <w:shd w:val="clear" w:color="auto" w:fill="FFFFFF" w:themeFill="background1"/>
      </w:pPr>
      <w:r>
        <w:t>Pre-DFT STBC has better performance than the non-Alamouti schemes. Pre-DFT STBC performance</w:t>
      </w:r>
      <w:r w:rsidRPr="00273C94">
        <w:t xml:space="preserve"> </w:t>
      </w:r>
      <w:r>
        <w:t xml:space="preserve">is close to SC-SFBC and may even have a slight advantage when QPSK is used, but displays performance loss (significant, even up to several dBs in some cases) when 16QAM is used. This scheme is rather </w:t>
      </w:r>
      <w:r>
        <w:lastRenderedPageBreak/>
        <w:t>sensitive to long channels and medium/high modulation orders because of the interference between the two symbol halves involved in Alamouti precoding. Given that pre-DFT STBC is more complex at both receiver and transmitter side without providing any significant gain over SC-SFBC, SC-SFBC is preferred.</w:t>
      </w:r>
    </w:p>
    <w:p w:rsidR="00273C94" w:rsidRDefault="00273C94" w:rsidP="00273C94">
      <w:pPr>
        <w:shd w:val="clear" w:color="auto" w:fill="FFFFFF" w:themeFill="background1"/>
      </w:pPr>
    </w:p>
    <w:p w:rsidR="00380FB8" w:rsidRDefault="00380FB8" w:rsidP="00380FB8">
      <w:pPr>
        <w:pStyle w:val="Lgende"/>
        <w:keepNext/>
      </w:pPr>
      <w:bookmarkStart w:id="3" w:name="_Ref498724653"/>
      <w:r w:rsidRPr="009D3989">
        <w:t xml:space="preserve">Table </w:t>
      </w:r>
      <w:r w:rsidR="000C123C" w:rsidRPr="009D3989">
        <w:fldChar w:fldCharType="begin"/>
      </w:r>
      <w:r w:rsidR="000C123C" w:rsidRPr="009D3989">
        <w:instrText xml:space="preserve"> SEQ Table \* ARABIC </w:instrText>
      </w:r>
      <w:r w:rsidR="000C123C" w:rsidRPr="009D3989">
        <w:fldChar w:fldCharType="separate"/>
      </w:r>
      <w:r w:rsidR="000C123C" w:rsidRPr="009D3989">
        <w:rPr>
          <w:noProof/>
        </w:rPr>
        <w:t>1</w:t>
      </w:r>
      <w:r w:rsidR="000C123C" w:rsidRPr="009D3989">
        <w:rPr>
          <w:noProof/>
        </w:rPr>
        <w:fldChar w:fldCharType="end"/>
      </w:r>
      <w:bookmarkEnd w:id="3"/>
      <w:r w:rsidRPr="009D3989">
        <w:t xml:space="preserve"> SNR gain at FER=10</w:t>
      </w:r>
      <w:r w:rsidRPr="009D3989">
        <w:rPr>
          <w:vertAlign w:val="superscript"/>
        </w:rPr>
        <w:t>-1</w:t>
      </w:r>
      <w:r w:rsidRPr="009D3989">
        <w:t xml:space="preserve"> of SC-SFBC over other diversity schemes for QPSK modulation</w:t>
      </w:r>
    </w:p>
    <w:tbl>
      <w:tblPr>
        <w:tblStyle w:val="Grilledutableau"/>
        <w:tblW w:w="0" w:type="auto"/>
        <w:tblLook w:val="04A0" w:firstRow="1" w:lastRow="0" w:firstColumn="1" w:lastColumn="0" w:noHBand="0" w:noVBand="1"/>
      </w:tblPr>
      <w:tblGrid>
        <w:gridCol w:w="512"/>
        <w:gridCol w:w="972"/>
        <w:gridCol w:w="698"/>
        <w:gridCol w:w="867"/>
        <w:gridCol w:w="868"/>
        <w:gridCol w:w="867"/>
        <w:gridCol w:w="868"/>
        <w:gridCol w:w="868"/>
        <w:gridCol w:w="867"/>
        <w:gridCol w:w="868"/>
        <w:gridCol w:w="868"/>
      </w:tblGrid>
      <w:tr w:rsidR="00380FB8" w:rsidRPr="00380FB8" w:rsidTr="003D19BD">
        <w:tc>
          <w:tcPr>
            <w:tcW w:w="452" w:type="dxa"/>
            <w:shd w:val="clear" w:color="auto" w:fill="EEECE1"/>
          </w:tcPr>
          <w:p w:rsidR="00380FB8" w:rsidRPr="00380FB8" w:rsidRDefault="00380FB8" w:rsidP="00F20A97">
            <w:pPr>
              <w:spacing w:after="60"/>
              <w:jc w:val="left"/>
              <w:rPr>
                <w:rFonts w:eastAsia="MS Mincho"/>
                <w:b/>
                <w:sz w:val="20"/>
                <w:szCs w:val="20"/>
              </w:rPr>
            </w:pPr>
          </w:p>
        </w:tc>
        <w:tc>
          <w:tcPr>
            <w:tcW w:w="972" w:type="dxa"/>
            <w:shd w:val="clear" w:color="auto" w:fill="EEECE1"/>
          </w:tcPr>
          <w:p w:rsidR="00380FB8" w:rsidRPr="00380FB8" w:rsidRDefault="00380FB8" w:rsidP="00F20A97">
            <w:pPr>
              <w:spacing w:after="60"/>
              <w:jc w:val="left"/>
              <w:rPr>
                <w:rFonts w:eastAsia="MS Mincho"/>
                <w:b/>
                <w:sz w:val="20"/>
                <w:szCs w:val="20"/>
              </w:rPr>
            </w:pPr>
          </w:p>
        </w:tc>
        <w:tc>
          <w:tcPr>
            <w:tcW w:w="698" w:type="dxa"/>
            <w:shd w:val="clear" w:color="auto" w:fill="EEECE1"/>
          </w:tcPr>
          <w:p w:rsidR="00380FB8" w:rsidRPr="00380FB8" w:rsidRDefault="00380FB8" w:rsidP="00F20A97">
            <w:pPr>
              <w:spacing w:after="60"/>
              <w:jc w:val="left"/>
              <w:rPr>
                <w:rFonts w:eastAsia="MS Mincho"/>
                <w:b/>
                <w:sz w:val="20"/>
                <w:szCs w:val="20"/>
              </w:rPr>
            </w:pPr>
          </w:p>
        </w:tc>
        <w:tc>
          <w:tcPr>
            <w:tcW w:w="867"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pre-DFT</w:t>
            </w:r>
            <w:r w:rsidR="00380FB8" w:rsidRPr="00380FB8">
              <w:rPr>
                <w:rFonts w:eastAsia="MS Mincho"/>
                <w:b/>
                <w:sz w:val="20"/>
                <w:szCs w:val="20"/>
              </w:rPr>
              <w:t xml:space="preserve">-STBC </w:t>
            </w:r>
          </w:p>
        </w:tc>
        <w:tc>
          <w:tcPr>
            <w:tcW w:w="868"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SFBC</w:t>
            </w:r>
            <w:r w:rsidR="006C2369">
              <w:rPr>
                <w:rFonts w:eastAsia="MS Mincho"/>
                <w:b/>
                <w:sz w:val="20"/>
                <w:szCs w:val="20"/>
              </w:rPr>
              <w:t>*</w:t>
            </w:r>
          </w:p>
        </w:tc>
        <w:tc>
          <w:tcPr>
            <w:tcW w:w="867"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SD-CDD</w:t>
            </w:r>
          </w:p>
        </w:tc>
        <w:tc>
          <w:tcPr>
            <w:tcW w:w="868"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LD-CDD</w:t>
            </w:r>
          </w:p>
        </w:tc>
        <w:tc>
          <w:tcPr>
            <w:tcW w:w="868"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1</w:t>
            </w:r>
          </w:p>
        </w:tc>
        <w:tc>
          <w:tcPr>
            <w:tcW w:w="867"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2</w:t>
            </w:r>
          </w:p>
        </w:tc>
        <w:tc>
          <w:tcPr>
            <w:tcW w:w="868"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3</w:t>
            </w:r>
          </w:p>
        </w:tc>
        <w:tc>
          <w:tcPr>
            <w:tcW w:w="868"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SIMO</w:t>
            </w:r>
          </w:p>
        </w:tc>
      </w:tr>
      <w:tr w:rsidR="00F20A97" w:rsidRPr="00380FB8" w:rsidTr="00380FB8">
        <w:tc>
          <w:tcPr>
            <w:tcW w:w="452" w:type="dxa"/>
            <w:vMerge w:val="restart"/>
            <w:shd w:val="clear" w:color="auto" w:fill="EEECE1"/>
            <w:textDirection w:val="btLr"/>
          </w:tcPr>
          <w:p w:rsidR="00F20A97" w:rsidRPr="00380FB8" w:rsidRDefault="00F20A97" w:rsidP="00F20A97">
            <w:pPr>
              <w:spacing w:after="60"/>
              <w:ind w:right="113"/>
              <w:jc w:val="center"/>
              <w:rPr>
                <w:rFonts w:eastAsia="MS Mincho"/>
                <w:sz w:val="20"/>
                <w:szCs w:val="20"/>
              </w:rPr>
            </w:pPr>
            <w:r w:rsidRPr="00380FB8">
              <w:rPr>
                <w:rFonts w:eastAsia="MS Mincho"/>
                <w:sz w:val="20"/>
                <w:szCs w:val="20"/>
              </w:rPr>
              <w:t>130ns</w:t>
            </w: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15kmph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60kmph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120kmph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1.8dB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2.2dB</w:t>
            </w:r>
          </w:p>
        </w:tc>
      </w:tr>
      <w:tr w:rsidR="00F20A97" w:rsidRPr="00380FB8" w:rsidTr="00380FB8">
        <w:tc>
          <w:tcPr>
            <w:tcW w:w="452" w:type="dxa"/>
            <w:vMerge w:val="restart"/>
            <w:shd w:val="clear" w:color="auto" w:fill="EEECE1"/>
            <w:textDirection w:val="btLr"/>
          </w:tcPr>
          <w:p w:rsidR="00F20A97" w:rsidRPr="00380FB8" w:rsidRDefault="00F20A97" w:rsidP="00F20A97">
            <w:pPr>
              <w:spacing w:after="60"/>
              <w:ind w:right="113"/>
              <w:jc w:val="center"/>
              <w:rPr>
                <w:rFonts w:eastAsia="MS Mincho"/>
                <w:sz w:val="20"/>
                <w:szCs w:val="20"/>
              </w:rPr>
            </w:pPr>
            <w:r w:rsidRPr="00380FB8">
              <w:rPr>
                <w:rFonts w:eastAsia="MS Mincho"/>
                <w:sz w:val="20"/>
                <w:szCs w:val="20"/>
              </w:rPr>
              <w:t>300ns</w:t>
            </w: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15kmph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60kmph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120kmph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val="restart"/>
            <w:shd w:val="clear" w:color="auto" w:fill="EEECE1"/>
            <w:textDirection w:val="btLr"/>
          </w:tcPr>
          <w:p w:rsidR="00F20A97" w:rsidRPr="00380FB8" w:rsidRDefault="00F20A97" w:rsidP="00F20A97">
            <w:pPr>
              <w:spacing w:after="60"/>
              <w:ind w:right="113"/>
              <w:jc w:val="center"/>
              <w:rPr>
                <w:rFonts w:eastAsia="MS Mincho"/>
                <w:sz w:val="20"/>
                <w:szCs w:val="20"/>
              </w:rPr>
            </w:pPr>
            <w:r w:rsidRPr="00380FB8">
              <w:rPr>
                <w:rFonts w:eastAsia="MS Mincho"/>
                <w:sz w:val="20"/>
                <w:szCs w:val="20"/>
              </w:rPr>
              <w:t>1000ns</w:t>
            </w: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15kmph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-0.6dB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60kmph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120kmph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bl>
    <w:p w:rsidR="00380FB8" w:rsidRPr="006C2369" w:rsidRDefault="000169BB" w:rsidP="006C2369">
      <w:pPr>
        <w:spacing w:after="160" w:line="259" w:lineRule="auto"/>
        <w:jc w:val="left"/>
        <w:rPr>
          <w:rFonts w:ascii="Calibri" w:eastAsia="Calibri" w:hAnsi="Calibri"/>
          <w:sz w:val="22"/>
          <w:szCs w:val="22"/>
          <w:lang w:eastAsia="en-US"/>
        </w:rPr>
      </w:pPr>
      <w:r>
        <w:rPr>
          <w:rFonts w:ascii="Calibri" w:eastAsia="Calibri" w:hAnsi="Calibri"/>
          <w:sz w:val="22"/>
          <w:szCs w:val="22"/>
          <w:lang w:eastAsia="en-US"/>
        </w:rPr>
        <w:t>*SFBC</w:t>
      </w:r>
      <w:r w:rsidR="006C2369" w:rsidRPr="006C2369">
        <w:rPr>
          <w:rFonts w:ascii="Calibri" w:eastAsia="Calibri" w:hAnsi="Calibri"/>
          <w:sz w:val="22"/>
          <w:szCs w:val="22"/>
          <w:lang w:eastAsia="en-US"/>
        </w:rPr>
        <w:t xml:space="preserve"> PAPR loss not taken into account in the table here-above</w:t>
      </w:r>
    </w:p>
    <w:p w:rsidR="00F20A97" w:rsidRDefault="00F20A97" w:rsidP="00380FB8">
      <w:pPr>
        <w:spacing w:after="160" w:line="259" w:lineRule="auto"/>
        <w:jc w:val="left"/>
        <w:rPr>
          <w:rFonts w:ascii="Calibri" w:eastAsia="Calibri" w:hAnsi="Calibri"/>
          <w:sz w:val="22"/>
          <w:szCs w:val="22"/>
          <w:lang w:eastAsia="en-US"/>
        </w:rPr>
      </w:pPr>
    </w:p>
    <w:p w:rsidR="009D3989" w:rsidRDefault="009D3989" w:rsidP="00380FB8">
      <w:pPr>
        <w:spacing w:after="160" w:line="259" w:lineRule="auto"/>
        <w:jc w:val="left"/>
        <w:rPr>
          <w:rFonts w:ascii="Calibri" w:eastAsia="Calibri" w:hAnsi="Calibri"/>
          <w:sz w:val="22"/>
          <w:szCs w:val="22"/>
          <w:lang w:eastAsia="en-US"/>
        </w:rPr>
      </w:pPr>
    </w:p>
    <w:p w:rsidR="009D3989" w:rsidRDefault="009D3989" w:rsidP="00380FB8">
      <w:pPr>
        <w:spacing w:after="160" w:line="259" w:lineRule="auto"/>
        <w:jc w:val="left"/>
        <w:rPr>
          <w:rFonts w:ascii="Calibri" w:eastAsia="Calibri" w:hAnsi="Calibri"/>
          <w:sz w:val="22"/>
          <w:szCs w:val="22"/>
          <w:lang w:eastAsia="en-US"/>
        </w:rPr>
      </w:pPr>
    </w:p>
    <w:p w:rsidR="009D3989" w:rsidRDefault="009D3989" w:rsidP="00380FB8">
      <w:pPr>
        <w:spacing w:after="160" w:line="259" w:lineRule="auto"/>
        <w:jc w:val="left"/>
        <w:rPr>
          <w:rFonts w:ascii="Calibri" w:eastAsia="Calibri" w:hAnsi="Calibri"/>
          <w:sz w:val="22"/>
          <w:szCs w:val="22"/>
          <w:lang w:eastAsia="en-US"/>
        </w:rPr>
      </w:pPr>
    </w:p>
    <w:p w:rsidR="009D3989" w:rsidRDefault="009D3989" w:rsidP="00380FB8">
      <w:pPr>
        <w:spacing w:after="160" w:line="259" w:lineRule="auto"/>
        <w:jc w:val="left"/>
        <w:rPr>
          <w:rFonts w:ascii="Calibri" w:eastAsia="Calibri" w:hAnsi="Calibri"/>
          <w:sz w:val="22"/>
          <w:szCs w:val="22"/>
          <w:lang w:eastAsia="en-US"/>
        </w:rPr>
      </w:pPr>
    </w:p>
    <w:p w:rsidR="009D3989" w:rsidRPr="006C2369" w:rsidRDefault="009D3989" w:rsidP="00380FB8">
      <w:pPr>
        <w:spacing w:after="160" w:line="259" w:lineRule="auto"/>
        <w:jc w:val="left"/>
        <w:rPr>
          <w:rFonts w:ascii="Calibri" w:eastAsia="Calibri" w:hAnsi="Calibri"/>
          <w:sz w:val="22"/>
          <w:szCs w:val="22"/>
          <w:lang w:eastAsia="en-US"/>
        </w:rPr>
      </w:pPr>
    </w:p>
    <w:p w:rsidR="00380FB8" w:rsidRDefault="00380FB8" w:rsidP="00380FB8">
      <w:pPr>
        <w:pStyle w:val="Lgende"/>
        <w:keepNext/>
      </w:pPr>
      <w:bookmarkStart w:id="4" w:name="_Ref498724655"/>
      <w:r w:rsidRPr="009D3989">
        <w:lastRenderedPageBreak/>
        <w:t xml:space="preserve">Table </w:t>
      </w:r>
      <w:r w:rsidR="000C123C" w:rsidRPr="009D3989">
        <w:fldChar w:fldCharType="begin"/>
      </w:r>
      <w:r w:rsidR="000C123C" w:rsidRPr="009D3989">
        <w:instrText xml:space="preserve"> SEQ Table \* ARABIC </w:instrText>
      </w:r>
      <w:r w:rsidR="000C123C" w:rsidRPr="009D3989">
        <w:fldChar w:fldCharType="separate"/>
      </w:r>
      <w:r w:rsidR="000C123C" w:rsidRPr="009D3989">
        <w:rPr>
          <w:noProof/>
        </w:rPr>
        <w:t>2</w:t>
      </w:r>
      <w:r w:rsidR="000C123C" w:rsidRPr="009D3989">
        <w:rPr>
          <w:noProof/>
        </w:rPr>
        <w:fldChar w:fldCharType="end"/>
      </w:r>
      <w:bookmarkEnd w:id="4"/>
      <w:r w:rsidRPr="009D3989">
        <w:t xml:space="preserve"> SNR gain at FER=10</w:t>
      </w:r>
      <w:r w:rsidRPr="009D3989">
        <w:rPr>
          <w:vertAlign w:val="superscript"/>
        </w:rPr>
        <w:t>-1</w:t>
      </w:r>
      <w:r w:rsidRPr="009D3989">
        <w:t xml:space="preserve"> of SC-SFBC over other diversity schemes for 16QAM modulation</w:t>
      </w:r>
    </w:p>
    <w:tbl>
      <w:tblPr>
        <w:tblStyle w:val="Grilledutableau"/>
        <w:tblW w:w="9163" w:type="dxa"/>
        <w:tblLook w:val="04A0" w:firstRow="1" w:lastRow="0" w:firstColumn="1" w:lastColumn="0" w:noHBand="0" w:noVBand="1"/>
      </w:tblPr>
      <w:tblGrid>
        <w:gridCol w:w="512"/>
        <w:gridCol w:w="972"/>
        <w:gridCol w:w="697"/>
        <w:gridCol w:w="874"/>
        <w:gridCol w:w="877"/>
        <w:gridCol w:w="871"/>
        <w:gridCol w:w="871"/>
        <w:gridCol w:w="871"/>
        <w:gridCol w:w="871"/>
        <w:gridCol w:w="871"/>
        <w:gridCol w:w="876"/>
      </w:tblGrid>
      <w:tr w:rsidR="00380FB8" w:rsidRPr="00380FB8" w:rsidTr="006C2369">
        <w:tc>
          <w:tcPr>
            <w:tcW w:w="512" w:type="dxa"/>
            <w:shd w:val="clear" w:color="auto" w:fill="EEECE1"/>
          </w:tcPr>
          <w:p w:rsidR="00380FB8" w:rsidRPr="00380FB8" w:rsidRDefault="00380FB8" w:rsidP="00F20A97">
            <w:pPr>
              <w:spacing w:after="60"/>
              <w:jc w:val="left"/>
              <w:rPr>
                <w:rFonts w:eastAsia="MS Mincho"/>
                <w:b/>
                <w:sz w:val="20"/>
                <w:szCs w:val="20"/>
              </w:rPr>
            </w:pPr>
          </w:p>
        </w:tc>
        <w:tc>
          <w:tcPr>
            <w:tcW w:w="972" w:type="dxa"/>
            <w:shd w:val="clear" w:color="auto" w:fill="EEECE1"/>
          </w:tcPr>
          <w:p w:rsidR="00380FB8" w:rsidRPr="00380FB8" w:rsidRDefault="00380FB8" w:rsidP="00F20A97">
            <w:pPr>
              <w:spacing w:after="60"/>
              <w:jc w:val="left"/>
              <w:rPr>
                <w:rFonts w:eastAsia="MS Mincho"/>
                <w:b/>
                <w:sz w:val="20"/>
                <w:szCs w:val="20"/>
              </w:rPr>
            </w:pPr>
          </w:p>
        </w:tc>
        <w:tc>
          <w:tcPr>
            <w:tcW w:w="697" w:type="dxa"/>
            <w:shd w:val="clear" w:color="auto" w:fill="EEECE1"/>
          </w:tcPr>
          <w:p w:rsidR="00380FB8" w:rsidRPr="00380FB8" w:rsidRDefault="00380FB8" w:rsidP="00F20A97">
            <w:pPr>
              <w:spacing w:after="60"/>
              <w:jc w:val="left"/>
              <w:rPr>
                <w:rFonts w:eastAsia="MS Mincho"/>
                <w:b/>
                <w:sz w:val="20"/>
                <w:szCs w:val="20"/>
              </w:rPr>
            </w:pPr>
          </w:p>
        </w:tc>
        <w:tc>
          <w:tcPr>
            <w:tcW w:w="874" w:type="dxa"/>
            <w:shd w:val="clear" w:color="auto" w:fill="EEECE1"/>
          </w:tcPr>
          <w:p w:rsidR="00380FB8" w:rsidRPr="00380FB8" w:rsidRDefault="00BA31A1" w:rsidP="00BA31A1">
            <w:pPr>
              <w:spacing w:after="60"/>
              <w:jc w:val="left"/>
              <w:rPr>
                <w:rFonts w:eastAsia="MS Mincho"/>
                <w:b/>
                <w:sz w:val="20"/>
                <w:szCs w:val="20"/>
              </w:rPr>
            </w:pPr>
            <w:r>
              <w:rPr>
                <w:rFonts w:eastAsia="MS Mincho"/>
                <w:b/>
                <w:sz w:val="20"/>
                <w:szCs w:val="20"/>
              </w:rPr>
              <w:t xml:space="preserve">pre-DFT </w:t>
            </w:r>
            <w:r w:rsidR="00380FB8" w:rsidRPr="00380FB8">
              <w:rPr>
                <w:rFonts w:eastAsia="MS Mincho"/>
                <w:b/>
                <w:sz w:val="20"/>
                <w:szCs w:val="20"/>
              </w:rPr>
              <w:t xml:space="preserve">STBC </w:t>
            </w:r>
          </w:p>
        </w:tc>
        <w:tc>
          <w:tcPr>
            <w:tcW w:w="877"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SFBC</w:t>
            </w:r>
            <w:r w:rsidR="006C2369">
              <w:rPr>
                <w:rFonts w:eastAsia="MS Mincho"/>
                <w:b/>
                <w:sz w:val="20"/>
                <w:szCs w:val="20"/>
              </w:rPr>
              <w:t>*</w:t>
            </w:r>
          </w:p>
        </w:tc>
        <w:tc>
          <w:tcPr>
            <w:tcW w:w="871"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SD-CDD</w:t>
            </w:r>
          </w:p>
        </w:tc>
        <w:tc>
          <w:tcPr>
            <w:tcW w:w="871"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LD-CDD</w:t>
            </w:r>
          </w:p>
        </w:tc>
        <w:tc>
          <w:tcPr>
            <w:tcW w:w="871"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1</w:t>
            </w:r>
          </w:p>
        </w:tc>
        <w:tc>
          <w:tcPr>
            <w:tcW w:w="871"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2</w:t>
            </w:r>
          </w:p>
        </w:tc>
        <w:tc>
          <w:tcPr>
            <w:tcW w:w="871"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3</w:t>
            </w:r>
          </w:p>
        </w:tc>
        <w:tc>
          <w:tcPr>
            <w:tcW w:w="876"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SIMO</w:t>
            </w:r>
          </w:p>
        </w:tc>
      </w:tr>
      <w:tr w:rsidR="00380FB8" w:rsidRPr="00380FB8" w:rsidTr="006C2369">
        <w:tc>
          <w:tcPr>
            <w:tcW w:w="512" w:type="dxa"/>
            <w:vMerge w:val="restart"/>
            <w:shd w:val="clear" w:color="auto" w:fill="EEECE1"/>
            <w:textDirection w:val="btLr"/>
          </w:tcPr>
          <w:p w:rsidR="00380FB8" w:rsidRPr="00380FB8" w:rsidRDefault="00380FB8" w:rsidP="00F20A97">
            <w:pPr>
              <w:spacing w:after="60"/>
              <w:ind w:right="113"/>
              <w:jc w:val="center"/>
              <w:rPr>
                <w:rFonts w:eastAsia="MS Mincho"/>
                <w:sz w:val="20"/>
                <w:szCs w:val="20"/>
              </w:rPr>
            </w:pPr>
            <w:r w:rsidRPr="00380FB8">
              <w:rPr>
                <w:rFonts w:eastAsia="MS Mincho"/>
                <w:sz w:val="20"/>
                <w:szCs w:val="20"/>
              </w:rPr>
              <w:t>130ns</w:t>
            </w: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15kmph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0.14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-0.11dB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1.69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0.86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2.41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1.46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1.92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60kmph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0.29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1.05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1.66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1.95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0.17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-0.12dB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2.29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1.78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2.41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0.07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-0.34dB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1.49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2.79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120kmph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C00000"/>
                <w:sz w:val="20"/>
                <w:szCs w:val="20"/>
              </w:rPr>
              <w:t>0.7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r>
      <w:tr w:rsidR="00380FB8" w:rsidRPr="00380FB8" w:rsidTr="006C2369">
        <w:tc>
          <w:tcPr>
            <w:tcW w:w="512" w:type="dxa"/>
            <w:vMerge w:val="restart"/>
            <w:shd w:val="clear" w:color="auto" w:fill="EEECE1"/>
            <w:textDirection w:val="btLr"/>
          </w:tcPr>
          <w:p w:rsidR="00380FB8" w:rsidRPr="00380FB8" w:rsidRDefault="00380FB8" w:rsidP="00F20A97">
            <w:pPr>
              <w:spacing w:after="60"/>
              <w:ind w:right="113"/>
              <w:jc w:val="center"/>
              <w:rPr>
                <w:rFonts w:eastAsia="MS Mincho"/>
                <w:sz w:val="20"/>
                <w:szCs w:val="20"/>
              </w:rPr>
            </w:pPr>
            <w:r w:rsidRPr="00380FB8">
              <w:rPr>
                <w:rFonts w:eastAsia="MS Mincho"/>
                <w:sz w:val="20"/>
                <w:szCs w:val="20"/>
              </w:rPr>
              <w:t>300ns</w:t>
            </w: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15kmph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1.45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0.82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1.35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0.62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-0.15dB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1.65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1.22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1.66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60kmph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0.64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-0.04dB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1.64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1.94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0.27 dB</w:t>
            </w:r>
          </w:p>
        </w:tc>
        <w:tc>
          <w:tcPr>
            <w:tcW w:w="877" w:type="dxa"/>
          </w:tcPr>
          <w:p w:rsidR="00380FB8" w:rsidRPr="00380FB8" w:rsidRDefault="00380FB8" w:rsidP="00F20A97">
            <w:pPr>
              <w:spacing w:after="60"/>
              <w:jc w:val="left"/>
              <w:rPr>
                <w:rFonts w:eastAsia="MS Mincho"/>
                <w:sz w:val="20"/>
                <w:szCs w:val="20"/>
              </w:rPr>
            </w:pPr>
            <w:r w:rsidRPr="00380FB8">
              <w:rPr>
                <w:rFonts w:eastAsia="MS Mincho"/>
                <w:color w:val="00B050"/>
                <w:sz w:val="20"/>
                <w:szCs w:val="20"/>
              </w:rPr>
              <w:t>-0.82dB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2.03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120kmph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2.19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r>
      <w:tr w:rsidR="00380FB8" w:rsidRPr="00380FB8" w:rsidTr="006C2369">
        <w:tc>
          <w:tcPr>
            <w:tcW w:w="512" w:type="dxa"/>
            <w:vMerge w:val="restart"/>
            <w:shd w:val="clear" w:color="auto" w:fill="EEECE1"/>
            <w:textDirection w:val="btLr"/>
          </w:tcPr>
          <w:p w:rsidR="00380FB8" w:rsidRPr="00380FB8" w:rsidRDefault="00380FB8" w:rsidP="00F20A97">
            <w:pPr>
              <w:spacing w:after="60"/>
              <w:ind w:right="113"/>
              <w:jc w:val="center"/>
              <w:rPr>
                <w:rFonts w:eastAsia="MS Mincho"/>
                <w:sz w:val="20"/>
                <w:szCs w:val="20"/>
              </w:rPr>
            </w:pPr>
            <w:r w:rsidRPr="00380FB8">
              <w:rPr>
                <w:rFonts w:eastAsia="MS Mincho"/>
                <w:sz w:val="20"/>
                <w:szCs w:val="20"/>
              </w:rPr>
              <w:t>1000ns</w:t>
            </w: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15kmph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C00000"/>
                <w:sz w:val="20"/>
                <w:szCs w:val="20"/>
              </w:rPr>
              <w:t>1.01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0.79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1.38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-0.25dB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0.74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1.73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7" w:type="dxa"/>
          </w:tcPr>
          <w:p w:rsidR="00380FB8" w:rsidRPr="00380FB8" w:rsidRDefault="00380FB8" w:rsidP="00F20A97">
            <w:pPr>
              <w:spacing w:after="60"/>
              <w:jc w:val="left"/>
              <w:rPr>
                <w:rFonts w:eastAsia="MS Mincho"/>
                <w:sz w:val="20"/>
                <w:szCs w:val="20"/>
              </w:rPr>
            </w:pPr>
            <w:r w:rsidRPr="00380FB8">
              <w:rPr>
                <w:rFonts w:eastAsia="MS Mincho"/>
                <w:color w:val="00B050"/>
                <w:sz w:val="20"/>
                <w:szCs w:val="20"/>
              </w:rPr>
              <w:t>-0.55dB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1.35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60kmph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1.56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1.34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-0.27dB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1.93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 dB</w:t>
            </w:r>
          </w:p>
        </w:tc>
        <w:tc>
          <w:tcPr>
            <w:tcW w:w="877" w:type="dxa"/>
          </w:tcPr>
          <w:p w:rsidR="00380FB8" w:rsidRPr="00380FB8" w:rsidRDefault="00380FB8" w:rsidP="00F20A97">
            <w:pPr>
              <w:spacing w:after="60"/>
              <w:jc w:val="left"/>
              <w:rPr>
                <w:rFonts w:eastAsia="MS Mincho"/>
                <w:sz w:val="20"/>
                <w:szCs w:val="20"/>
              </w:rPr>
            </w:pPr>
            <w:r w:rsidRPr="00380FB8">
              <w:rPr>
                <w:rFonts w:eastAsia="MS Mincho"/>
                <w:color w:val="00B050"/>
                <w:sz w:val="20"/>
                <w:szCs w:val="20"/>
              </w:rPr>
              <w:t>-0.7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1.23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1.99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120kmph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5.6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4.38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 xml:space="preserve">- </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6"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r>
    </w:tbl>
    <w:p w:rsidR="00380FB8" w:rsidRPr="006C2369" w:rsidRDefault="006C2369" w:rsidP="00380FB8">
      <w:pPr>
        <w:spacing w:after="160" w:line="259" w:lineRule="auto"/>
        <w:jc w:val="left"/>
        <w:rPr>
          <w:rFonts w:ascii="Calibri" w:eastAsia="Calibri" w:hAnsi="Calibri"/>
          <w:sz w:val="22"/>
          <w:szCs w:val="22"/>
          <w:lang w:eastAsia="en-US"/>
        </w:rPr>
      </w:pPr>
      <w:r>
        <w:rPr>
          <w:rFonts w:ascii="Calibri" w:eastAsia="Calibri" w:hAnsi="Calibri"/>
          <w:sz w:val="22"/>
          <w:szCs w:val="22"/>
          <w:lang w:eastAsia="en-US"/>
        </w:rPr>
        <w:t>*</w:t>
      </w:r>
      <w:r w:rsidRPr="006C2369">
        <w:rPr>
          <w:rFonts w:ascii="Calibri" w:eastAsia="Calibri" w:hAnsi="Calibri"/>
          <w:sz w:val="22"/>
          <w:szCs w:val="22"/>
          <w:lang w:eastAsia="en-US"/>
        </w:rPr>
        <w:t>SFBC has a PAPR loss not taken into account in the table here-above</w:t>
      </w:r>
    </w:p>
    <w:p w:rsidR="00380FB8" w:rsidRDefault="00380FB8" w:rsidP="00380FB8">
      <w:pPr>
        <w:spacing w:after="160" w:line="259" w:lineRule="auto"/>
        <w:jc w:val="left"/>
        <w:rPr>
          <w:rFonts w:ascii="Calibri" w:eastAsia="Calibri" w:hAnsi="Calibri"/>
          <w:sz w:val="22"/>
          <w:szCs w:val="22"/>
          <w:lang w:eastAsia="en-US"/>
        </w:rPr>
      </w:pPr>
    </w:p>
    <w:p w:rsidR="00380FB8" w:rsidRPr="005F7A8B" w:rsidRDefault="00380FB8" w:rsidP="00B21981">
      <w:pPr>
        <w:shd w:val="clear" w:color="auto" w:fill="FFFFFF" w:themeFill="background1"/>
      </w:pPr>
    </w:p>
    <w:p w:rsidR="00273C94" w:rsidRDefault="00B21981" w:rsidP="00B21981">
      <w:pPr>
        <w:shd w:val="clear" w:color="auto" w:fill="FFFFFF" w:themeFill="background1"/>
        <w:rPr>
          <w:i/>
        </w:rPr>
      </w:pPr>
      <w:r w:rsidRPr="00C076BF">
        <w:rPr>
          <w:b/>
        </w:rPr>
        <w:t>Observation:</w:t>
      </w:r>
      <w:r>
        <w:rPr>
          <w:i/>
        </w:rPr>
        <w:t xml:space="preserve"> </w:t>
      </w:r>
      <w:r w:rsidRPr="0073662B">
        <w:rPr>
          <w:i/>
        </w:rPr>
        <w:t>Full diversity Alamouti schemes are more robust than CDD</w:t>
      </w:r>
      <w:r w:rsidR="00273C94">
        <w:rPr>
          <w:i/>
        </w:rPr>
        <w:t xml:space="preserve"> and PVS</w:t>
      </w:r>
      <w:r w:rsidR="00394430" w:rsidRPr="00394430">
        <w:rPr>
          <w:i/>
        </w:rPr>
        <w:t xml:space="preserve"> </w:t>
      </w:r>
      <w:r w:rsidR="00394430">
        <w:rPr>
          <w:i/>
        </w:rPr>
        <w:t>and provide significantly better performance</w:t>
      </w:r>
      <w:bookmarkStart w:id="5" w:name="_GoBack"/>
      <w:bookmarkEnd w:id="5"/>
      <w:r w:rsidRPr="00E863EF">
        <w:rPr>
          <w:i/>
        </w:rPr>
        <w:t xml:space="preserve">. </w:t>
      </w:r>
    </w:p>
    <w:p w:rsidR="00B21981" w:rsidRDefault="00273C94" w:rsidP="00B21981">
      <w:pPr>
        <w:shd w:val="clear" w:color="auto" w:fill="FFFFFF" w:themeFill="background1"/>
      </w:pPr>
      <w:r w:rsidRPr="00C076BF">
        <w:rPr>
          <w:b/>
        </w:rPr>
        <w:t>Observation:</w:t>
      </w:r>
      <w:r>
        <w:rPr>
          <w:b/>
        </w:rPr>
        <w:t xml:space="preserve"> </w:t>
      </w:r>
      <w:r w:rsidR="00B21981" w:rsidRPr="0014307B">
        <w:rPr>
          <w:i/>
        </w:rPr>
        <w:t>The</w:t>
      </w:r>
      <w:r w:rsidR="00B21981" w:rsidRPr="0073662B">
        <w:rPr>
          <w:i/>
        </w:rPr>
        <w:t xml:space="preserve"> PAPR preserving SC-SFBC </w:t>
      </w:r>
      <w:r w:rsidR="00B21981">
        <w:rPr>
          <w:i/>
        </w:rPr>
        <w:t>has clos</w:t>
      </w:r>
      <w:r w:rsidR="00B21981" w:rsidRPr="0073662B">
        <w:rPr>
          <w:i/>
        </w:rPr>
        <w:t xml:space="preserve">e FER performance </w:t>
      </w:r>
      <w:r w:rsidR="00B21981">
        <w:rPr>
          <w:i/>
        </w:rPr>
        <w:t>with</w:t>
      </w:r>
      <w:r w:rsidR="00B21981" w:rsidRPr="0073662B">
        <w:rPr>
          <w:i/>
        </w:rPr>
        <w:t xml:space="preserve"> SFBC without any PAPR loss and is thus preferred to SFBC</w:t>
      </w:r>
      <w:r w:rsidR="00B21981" w:rsidRPr="0073662B">
        <w:t>.</w:t>
      </w:r>
    </w:p>
    <w:p w:rsidR="00B21981" w:rsidRDefault="00273C94" w:rsidP="00B21981">
      <w:pPr>
        <w:shd w:val="clear" w:color="auto" w:fill="FFFFFF" w:themeFill="background1"/>
      </w:pPr>
      <w:r w:rsidRPr="00C076BF">
        <w:rPr>
          <w:b/>
        </w:rPr>
        <w:t>Observation:</w:t>
      </w:r>
      <w:r>
        <w:rPr>
          <w:b/>
        </w:rPr>
        <w:t xml:space="preserve"> </w:t>
      </w:r>
      <w:r w:rsidRPr="0014307B">
        <w:rPr>
          <w:i/>
        </w:rPr>
        <w:t>The</w:t>
      </w:r>
      <w:r w:rsidRPr="0073662B">
        <w:rPr>
          <w:i/>
        </w:rPr>
        <w:t xml:space="preserve"> PAPR preserving SC-SFBC </w:t>
      </w:r>
      <w:r>
        <w:rPr>
          <w:i/>
        </w:rPr>
        <w:t>is less complex than pre-DFT STBC and has similar (QPSK) or better (16QAM) performance</w:t>
      </w:r>
      <w:r w:rsidRPr="0073662B">
        <w:t>.</w:t>
      </w:r>
    </w:p>
    <w:p w:rsidR="009D3989" w:rsidRDefault="009D3989" w:rsidP="00B21981">
      <w:pPr>
        <w:shd w:val="clear" w:color="auto" w:fill="FFFFFF" w:themeFill="background1"/>
      </w:pPr>
    </w:p>
    <w:p w:rsidR="009D3989" w:rsidRDefault="009D3989" w:rsidP="00B21981">
      <w:pPr>
        <w:shd w:val="clear" w:color="auto" w:fill="FFFFFF" w:themeFill="background1"/>
      </w:pPr>
    </w:p>
    <w:p w:rsidR="009D3989" w:rsidRPr="0073662B" w:rsidRDefault="009D3989" w:rsidP="00B21981">
      <w:pPr>
        <w:shd w:val="clear" w:color="auto" w:fill="FFFFFF" w:themeFill="background1"/>
      </w:pPr>
    </w:p>
    <w:p w:rsidR="0007135A" w:rsidRDefault="0007135A" w:rsidP="005624D8">
      <w:pPr>
        <w:shd w:val="clear" w:color="auto" w:fill="FFFFFF" w:themeFill="background1"/>
      </w:pP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273C94" w:rsidRDefault="00273C94" w:rsidP="00273C94">
      <w:pPr>
        <w:shd w:val="clear" w:color="auto" w:fill="FFFFFF" w:themeFill="background1"/>
        <w:rPr>
          <w:i/>
        </w:rPr>
      </w:pPr>
      <w:r w:rsidRPr="00C076BF">
        <w:rPr>
          <w:b/>
        </w:rPr>
        <w:t>Observation:</w:t>
      </w:r>
      <w:r>
        <w:rPr>
          <w:i/>
        </w:rPr>
        <w:t xml:space="preserve"> </w:t>
      </w:r>
      <w:r w:rsidRPr="0073662B">
        <w:rPr>
          <w:i/>
        </w:rPr>
        <w:t>Full diversity Alamouti schemes are more robust than CDD</w:t>
      </w:r>
      <w:r>
        <w:rPr>
          <w:i/>
        </w:rPr>
        <w:t xml:space="preserve"> and PVS</w:t>
      </w:r>
      <w:r w:rsidR="00394430">
        <w:rPr>
          <w:i/>
        </w:rPr>
        <w:t xml:space="preserve"> and provide significantly better performance</w:t>
      </w:r>
      <w:r w:rsidRPr="00E863EF">
        <w:rPr>
          <w:i/>
        </w:rPr>
        <w:t xml:space="preserve">. </w:t>
      </w:r>
    </w:p>
    <w:p w:rsidR="00273C94" w:rsidRDefault="00273C94" w:rsidP="00273C94">
      <w:pPr>
        <w:shd w:val="clear" w:color="auto" w:fill="FFFFFF" w:themeFill="background1"/>
      </w:pPr>
      <w:r w:rsidRPr="00C076BF">
        <w:rPr>
          <w:b/>
        </w:rPr>
        <w:t>Observation:</w:t>
      </w:r>
      <w:r>
        <w:rPr>
          <w:b/>
        </w:rPr>
        <w:t xml:space="preserve"> </w:t>
      </w:r>
      <w:r w:rsidRPr="0014307B">
        <w:rPr>
          <w:i/>
        </w:rPr>
        <w:t>The</w:t>
      </w:r>
      <w:r w:rsidRPr="0073662B">
        <w:rPr>
          <w:i/>
        </w:rPr>
        <w:t xml:space="preserve"> PAPR preserving SC-SFBC </w:t>
      </w:r>
      <w:r>
        <w:rPr>
          <w:i/>
        </w:rPr>
        <w:t>has clos</w:t>
      </w:r>
      <w:r w:rsidRPr="0073662B">
        <w:rPr>
          <w:i/>
        </w:rPr>
        <w:t xml:space="preserve">e FER performance </w:t>
      </w:r>
      <w:r>
        <w:rPr>
          <w:i/>
        </w:rPr>
        <w:t>with</w:t>
      </w:r>
      <w:r w:rsidRPr="0073662B">
        <w:rPr>
          <w:i/>
        </w:rPr>
        <w:t xml:space="preserve"> SFBC without any PAPR loss and is thus preferred to SFBC</w:t>
      </w:r>
      <w:r w:rsidRPr="0073662B">
        <w:t>.</w:t>
      </w:r>
    </w:p>
    <w:p w:rsidR="00273C94" w:rsidRPr="0073662B" w:rsidRDefault="00273C94" w:rsidP="00273C94">
      <w:pPr>
        <w:shd w:val="clear" w:color="auto" w:fill="FFFFFF" w:themeFill="background1"/>
      </w:pPr>
      <w:r w:rsidRPr="00C076BF">
        <w:rPr>
          <w:b/>
        </w:rPr>
        <w:t>Observation:</w:t>
      </w:r>
      <w:r>
        <w:rPr>
          <w:b/>
        </w:rPr>
        <w:t xml:space="preserve"> </w:t>
      </w:r>
      <w:r w:rsidRPr="0014307B">
        <w:rPr>
          <w:i/>
        </w:rPr>
        <w:t>The</w:t>
      </w:r>
      <w:r w:rsidRPr="0073662B">
        <w:rPr>
          <w:i/>
        </w:rPr>
        <w:t xml:space="preserve"> PAPR preserving SC-SFBC </w:t>
      </w:r>
      <w:r>
        <w:rPr>
          <w:i/>
        </w:rPr>
        <w:t>is less complex than pre-DFT STBC and has similar (QPSK) or better (16QAM) performance</w:t>
      </w:r>
      <w:r w:rsidRPr="0073662B">
        <w:t>.</w:t>
      </w:r>
    </w:p>
    <w:p w:rsidR="00401D41" w:rsidRPr="0073662B" w:rsidRDefault="00401D41" w:rsidP="00401D41">
      <w:pPr>
        <w:rPr>
          <w:i/>
        </w:rPr>
      </w:pPr>
      <w:r w:rsidRPr="0073662B">
        <w:rPr>
          <w:b/>
        </w:rPr>
        <w:t>Proposal</w:t>
      </w:r>
      <w:r w:rsidRPr="0073662B">
        <w:t xml:space="preserve">: </w:t>
      </w:r>
      <w:r w:rsidRPr="00EA59E6">
        <w:rPr>
          <w:i/>
        </w:rPr>
        <w:t>SC-SFBC</w:t>
      </w:r>
      <w:r>
        <w:t xml:space="preserve"> </w:t>
      </w:r>
      <w:r w:rsidRPr="00E74B84">
        <w:rPr>
          <w:i/>
          <w:szCs w:val="20"/>
        </w:rPr>
        <w:t>Alamouti-based transmit diversity is supported for P</w:t>
      </w:r>
      <w:r w:rsidR="00160772">
        <w:rPr>
          <w:i/>
          <w:szCs w:val="20"/>
        </w:rPr>
        <w:t>S</w:t>
      </w:r>
      <w:r w:rsidRPr="00E74B84">
        <w:rPr>
          <w:i/>
          <w:szCs w:val="20"/>
        </w:rPr>
        <w:t>SCH with DFTsOFDM</w:t>
      </w:r>
    </w:p>
    <w:p w:rsidR="0005616B" w:rsidRDefault="0005616B" w:rsidP="000169BB"/>
    <w:p w:rsidR="000169BB" w:rsidRDefault="000169BB" w:rsidP="000169BB"/>
    <w:p w:rsidR="000169BB" w:rsidRPr="0073662B" w:rsidRDefault="000169BB" w:rsidP="0005616B">
      <w:pPr>
        <w:pBdr>
          <w:bottom w:val="single" w:sz="12" w:space="1" w:color="auto"/>
        </w:pBdr>
      </w:pPr>
    </w:p>
    <w:p w:rsidR="0005616B" w:rsidRPr="002147D0" w:rsidRDefault="0005616B" w:rsidP="0005616B">
      <w:pPr>
        <w:pStyle w:val="Titre1"/>
      </w:pPr>
      <w:r w:rsidRPr="002147D0">
        <w:t>References</w:t>
      </w:r>
    </w:p>
    <w:p w:rsidR="000C123C" w:rsidRDefault="000C123C" w:rsidP="00175C63">
      <w:pPr>
        <w:pStyle w:val="Titre3"/>
        <w:numPr>
          <w:ilvl w:val="0"/>
          <w:numId w:val="6"/>
        </w:numPr>
      </w:pPr>
      <w:bookmarkStart w:id="6" w:name="_Ref506373676"/>
      <w:bookmarkStart w:id="7" w:name="_Ref498549168"/>
      <w:bookmarkStart w:id="8" w:name="_Ref477366453"/>
      <w:bookmarkStart w:id="9" w:name="_Ref468982085"/>
      <w:bookmarkStart w:id="10" w:name="_Ref461457447"/>
      <w:bookmarkStart w:id="11" w:name="_Ref457744160"/>
      <w:bookmarkStart w:id="12" w:name="_Ref468983461"/>
      <w:r>
        <w:t>Chairman’s notes, RAN1 #91, Reno, NV, USA, November 2017.</w:t>
      </w:r>
      <w:bookmarkEnd w:id="6"/>
    </w:p>
    <w:p w:rsidR="000C123C" w:rsidRDefault="000C123C" w:rsidP="00175C63">
      <w:pPr>
        <w:pStyle w:val="Titre3"/>
        <w:numPr>
          <w:ilvl w:val="0"/>
          <w:numId w:val="6"/>
        </w:numPr>
      </w:pPr>
      <w:bookmarkStart w:id="13" w:name="_Ref506373666"/>
      <w:r w:rsidRPr="0073662B">
        <w:t xml:space="preserve">Chairman’s notes, RAN1 </w:t>
      </w:r>
      <w:r>
        <w:t>#90b</w:t>
      </w:r>
      <w:r w:rsidRPr="0073662B">
        <w:t xml:space="preserve">, </w:t>
      </w:r>
      <w:r>
        <w:t>Prague, Czech Republic, October</w:t>
      </w:r>
      <w:r w:rsidRPr="0073662B">
        <w:t xml:space="preserve"> 2017.</w:t>
      </w:r>
      <w:bookmarkEnd w:id="7"/>
      <w:bookmarkEnd w:id="13"/>
    </w:p>
    <w:p w:rsidR="0005616B" w:rsidRPr="0073662B" w:rsidRDefault="0005616B" w:rsidP="00175C63">
      <w:pPr>
        <w:pStyle w:val="Titre3"/>
        <w:numPr>
          <w:ilvl w:val="0"/>
          <w:numId w:val="6"/>
        </w:numPr>
      </w:pPr>
      <w:bookmarkStart w:id="14" w:name="_Ref506396281"/>
      <w:r w:rsidRPr="0073662B">
        <w:t xml:space="preserve">Chairman’s notes, RAN1 </w:t>
      </w:r>
      <w:r>
        <w:t>#90</w:t>
      </w:r>
      <w:r w:rsidRPr="0073662B">
        <w:t xml:space="preserve">, </w:t>
      </w:r>
      <w:r>
        <w:t>Prague, Czech Republic, August</w:t>
      </w:r>
      <w:r w:rsidRPr="0073662B">
        <w:t xml:space="preserve"> 2017.</w:t>
      </w:r>
      <w:bookmarkEnd w:id="8"/>
      <w:bookmarkEnd w:id="14"/>
    </w:p>
    <w:p w:rsidR="0005616B" w:rsidRDefault="0005616B" w:rsidP="00175C63">
      <w:pPr>
        <w:pStyle w:val="Titre3"/>
        <w:numPr>
          <w:ilvl w:val="0"/>
          <w:numId w:val="6"/>
        </w:numPr>
      </w:pPr>
      <w:bookmarkStart w:id="15" w:name="_Ref484187793"/>
      <w:bookmarkStart w:id="16" w:name="_Ref477366465"/>
      <w:bookmarkStart w:id="17" w:name="_Ref481586870"/>
      <w:r>
        <w:t>Chairman’s notes, RAN1 #88b</w:t>
      </w:r>
      <w:r w:rsidRPr="0073662B">
        <w:t xml:space="preserve">, </w:t>
      </w:r>
      <w:r>
        <w:t>Spokane, April</w:t>
      </w:r>
      <w:r w:rsidRPr="0073662B">
        <w:t xml:space="preserve"> 2017</w:t>
      </w:r>
      <w:bookmarkEnd w:id="15"/>
    </w:p>
    <w:p w:rsidR="0005616B" w:rsidRDefault="0005616B" w:rsidP="00175C63">
      <w:pPr>
        <w:pStyle w:val="Titre3"/>
        <w:numPr>
          <w:ilvl w:val="0"/>
          <w:numId w:val="6"/>
        </w:numPr>
      </w:pPr>
      <w:bookmarkStart w:id="18" w:name="_Ref492582194"/>
      <w:bookmarkStart w:id="19" w:name="_Ref468984773"/>
      <w:bookmarkEnd w:id="9"/>
      <w:bookmarkEnd w:id="10"/>
      <w:bookmarkEnd w:id="11"/>
      <w:bookmarkEnd w:id="12"/>
      <w:bookmarkEnd w:id="16"/>
      <w:bookmarkEnd w:id="17"/>
      <w:r w:rsidRPr="0073662B">
        <w:t>C. Ciochina, D. Castelain, D. Mottier and H. Sari, “A Space-Frequency Block Code for Single-Carrier FDMA,” Electronics Letters 44(11):690 - 691 February 2008</w:t>
      </w:r>
    </w:p>
    <w:p w:rsidR="0005616B" w:rsidRDefault="0005616B" w:rsidP="00175C63">
      <w:pPr>
        <w:pStyle w:val="Titre3"/>
        <w:numPr>
          <w:ilvl w:val="0"/>
          <w:numId w:val="6"/>
        </w:numPr>
      </w:pPr>
      <w:bookmarkStart w:id="20" w:name="_Ref494406673"/>
      <w:r w:rsidRPr="00D47F8C">
        <w:t>R1-</w:t>
      </w:r>
      <w:r w:rsidR="00AD2A97">
        <w:t>1802251</w:t>
      </w:r>
      <w:r>
        <w:t xml:space="preserve">, </w:t>
      </w:r>
      <w:r w:rsidRPr="00D47F8C">
        <w:t>Low PAPR SFBC for V2X transmit diversity</w:t>
      </w:r>
      <w:r>
        <w:t>, Mitsubishi Electric, RAN1#9</w:t>
      </w:r>
      <w:r w:rsidR="004129A4">
        <w:t>1</w:t>
      </w:r>
      <w:r>
        <w:t xml:space="preserve">, </w:t>
      </w:r>
      <w:r w:rsidR="004129A4">
        <w:t>Reno</w:t>
      </w:r>
      <w:r>
        <w:t xml:space="preserve">, </w:t>
      </w:r>
      <w:r w:rsidR="004129A4">
        <w:t>November</w:t>
      </w:r>
      <w:r>
        <w:t xml:space="preserve"> 2017.</w:t>
      </w:r>
      <w:bookmarkEnd w:id="20"/>
    </w:p>
    <w:p w:rsidR="0005616B" w:rsidRDefault="0005616B" w:rsidP="00175C63">
      <w:pPr>
        <w:pStyle w:val="Titre3"/>
        <w:numPr>
          <w:ilvl w:val="0"/>
          <w:numId w:val="6"/>
        </w:numPr>
      </w:pPr>
      <w:bookmarkStart w:id="21" w:name="_Ref494384543"/>
      <w:r w:rsidRPr="00BF387B">
        <w:t>R1-1715555</w:t>
      </w:r>
      <w:r>
        <w:t xml:space="preserve">, </w:t>
      </w:r>
      <w:r w:rsidRPr="00BF387B">
        <w:t>UL diversity transmission for DFTsOFDM</w:t>
      </w:r>
      <w:r>
        <w:t xml:space="preserve">, </w:t>
      </w:r>
      <w:r w:rsidRPr="00BF387B">
        <w:t>Mitsubishi Electric</w:t>
      </w:r>
      <w:r>
        <w:t>, RAN1 NR AH#03, Nagoya, September 2017.</w:t>
      </w:r>
      <w:bookmarkEnd w:id="21"/>
    </w:p>
    <w:p w:rsidR="003D19BD" w:rsidRDefault="0005616B" w:rsidP="00175C63">
      <w:pPr>
        <w:pStyle w:val="Titre3"/>
        <w:numPr>
          <w:ilvl w:val="0"/>
          <w:numId w:val="6"/>
        </w:numPr>
      </w:pPr>
      <w:bookmarkStart w:id="22" w:name="_Ref494384545"/>
      <w:r>
        <w:t xml:space="preserve">R1-1716237, </w:t>
      </w:r>
      <w:r w:rsidRPr="00BF387B">
        <w:t>Transmit diversity for DFTsOF</w:t>
      </w:r>
      <w:r>
        <w:t xml:space="preserve">DM-based PUCCH in long duration, </w:t>
      </w:r>
      <w:r w:rsidRPr="00BF387B">
        <w:t>Mitsubishi Electric RCE</w:t>
      </w:r>
      <w:r>
        <w:t>, RAN1 NR AH#03, Nagoya, September 2017</w:t>
      </w:r>
      <w:r w:rsidR="003D19BD">
        <w:t>.</w:t>
      </w:r>
    </w:p>
    <w:p w:rsidR="0005616B" w:rsidRDefault="003D19BD" w:rsidP="00175C63">
      <w:pPr>
        <w:pStyle w:val="Titre3"/>
        <w:numPr>
          <w:ilvl w:val="0"/>
          <w:numId w:val="6"/>
        </w:numPr>
      </w:pPr>
      <w:bookmarkStart w:id="23" w:name="_Ref498720732"/>
      <w:r w:rsidRPr="003D19BD">
        <w:t>R1-1713389, On UL divers</w:t>
      </w:r>
      <w:r w:rsidR="00BA31A1">
        <w:t>ity transmission scheme,</w:t>
      </w:r>
      <w:r>
        <w:t xml:space="preserve"> RAN1#90, Prague, August 2017</w:t>
      </w:r>
      <w:r w:rsidR="0005616B">
        <w:t>.</w:t>
      </w:r>
      <w:bookmarkEnd w:id="18"/>
      <w:bookmarkEnd w:id="19"/>
      <w:bookmarkEnd w:id="22"/>
      <w:bookmarkEnd w:id="23"/>
    </w:p>
    <w:p w:rsidR="0005616B" w:rsidRPr="0073662B" w:rsidRDefault="0005616B" w:rsidP="00401D41"/>
    <w:p w:rsidR="0049738E" w:rsidRPr="0073662B" w:rsidRDefault="0049738E">
      <w:pPr>
        <w:spacing w:after="0"/>
        <w:jc w:val="left"/>
      </w:pPr>
      <w:r w:rsidRPr="0073662B">
        <w:br w:type="page"/>
      </w:r>
    </w:p>
    <w:p w:rsidR="00160C37" w:rsidRPr="009D3989" w:rsidRDefault="00160C37" w:rsidP="001B502C">
      <w:pPr>
        <w:pStyle w:val="Titre1"/>
      </w:pPr>
      <w:r w:rsidRPr="009D3989">
        <w:lastRenderedPageBreak/>
        <w:t>Annex</w:t>
      </w:r>
      <w:r w:rsidR="0049738E" w:rsidRPr="009D3989">
        <w:t xml:space="preserve"> B</w:t>
      </w:r>
      <w:r w:rsidRPr="009D3989">
        <w:t>: Simulation parameters</w:t>
      </w:r>
      <w:r w:rsidR="001557DF" w:rsidRPr="009D3989">
        <w:t xml:space="preserve"> </w:t>
      </w:r>
    </w:p>
    <w:p w:rsidR="00160C37" w:rsidRPr="009D3989" w:rsidRDefault="00160C37" w:rsidP="00160C37"/>
    <w:tbl>
      <w:tblPr>
        <w:tblW w:w="10055" w:type="dxa"/>
        <w:tblCellMar>
          <w:left w:w="0" w:type="dxa"/>
          <w:right w:w="0" w:type="dxa"/>
        </w:tblCellMar>
        <w:tblLook w:val="04A0" w:firstRow="1" w:lastRow="0" w:firstColumn="1" w:lastColumn="0" w:noHBand="0" w:noVBand="1"/>
      </w:tblPr>
      <w:tblGrid>
        <w:gridCol w:w="2400"/>
        <w:gridCol w:w="2551"/>
        <w:gridCol w:w="2552"/>
        <w:gridCol w:w="2552"/>
      </w:tblGrid>
      <w:tr w:rsidR="00E278CF" w:rsidRPr="009D3989" w:rsidTr="00E278CF">
        <w:trPr>
          <w:trHeight w:val="345"/>
        </w:trPr>
        <w:tc>
          <w:tcPr>
            <w:tcW w:w="2400"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9D3989" w:rsidRDefault="00E278CF" w:rsidP="00A47724">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FFFFFF"/>
                <w:kern w:val="2"/>
                <w:sz w:val="22"/>
                <w:szCs w:val="22"/>
              </w:rPr>
              <w:t>Assumptions ,</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9D3989" w:rsidRDefault="00E278CF" w:rsidP="00A47724">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FFFFFF"/>
                <w:kern w:val="2"/>
                <w:sz w:val="22"/>
                <w:szCs w:val="22"/>
              </w:rPr>
              <w:t>Value</w:t>
            </w:r>
            <w:r w:rsidRPr="009D3989">
              <w:rPr>
                <w:rFonts w:ascii="Times New Roman" w:hAnsi="Times New Roman" w:cs="Times New Roman"/>
                <w:color w:val="000000"/>
                <w:kern w:val="24"/>
                <w:sz w:val="22"/>
                <w:szCs w:val="22"/>
              </w:rPr>
              <w:t xml:space="preserve"> </w:t>
            </w:r>
          </w:p>
        </w:tc>
      </w:tr>
      <w:tr w:rsidR="00E278CF" w:rsidRPr="009D3989" w:rsidTr="00E278CF">
        <w:trPr>
          <w:trHeight w:val="420"/>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Carrier frequency</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603E6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6 GHz</w:t>
            </w:r>
          </w:p>
        </w:tc>
      </w:tr>
      <w:tr w:rsidR="00E278CF" w:rsidRPr="009D3989" w:rsidTr="00E278CF">
        <w:trPr>
          <w:trHeight w:val="352"/>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E278CF" w:rsidRPr="009D3989" w:rsidRDefault="00E278CF" w:rsidP="00603E6F">
            <w:pPr>
              <w:spacing w:before="60" w:after="60"/>
              <w:ind w:firstLine="110"/>
              <w:rPr>
                <w:rFonts w:eastAsia="Times New Roman"/>
                <w:sz w:val="22"/>
                <w:szCs w:val="22"/>
                <w:lang w:val="fr-FR" w:eastAsia="fr-FR"/>
              </w:rPr>
            </w:pPr>
            <w:r w:rsidRPr="009D3989">
              <w:rPr>
                <w:rFonts w:eastAsia="SimSun"/>
                <w:b/>
                <w:bCs/>
                <w:color w:val="000000"/>
                <w:kern w:val="2"/>
                <w:sz w:val="22"/>
                <w:szCs w:val="22"/>
                <w:lang w:eastAsia="fr-FR"/>
              </w:rPr>
              <w:t xml:space="preserve">Number of antennas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E278CF">
            <w:pPr>
              <w:spacing w:before="60" w:after="60"/>
              <w:jc w:val="center"/>
              <w:rPr>
                <w:rFonts w:eastAsia="Times New Roman"/>
                <w:sz w:val="22"/>
                <w:szCs w:val="22"/>
                <w:lang w:eastAsia="fr-FR"/>
              </w:rPr>
            </w:pPr>
            <w:r w:rsidRPr="009D3989">
              <w:rPr>
                <w:rFonts w:eastAsia="Times New Roman"/>
                <w:sz w:val="22"/>
                <w:szCs w:val="22"/>
                <w:lang w:eastAsia="fr-FR"/>
              </w:rPr>
              <w:t>2x2</w:t>
            </w:r>
          </w:p>
        </w:tc>
      </w:tr>
      <w:tr w:rsidR="00E278CF" w:rsidRPr="009D3989" w:rsidTr="00E278CF">
        <w:trPr>
          <w:trHeight w:val="39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 xml:space="preserve">Numerology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3C7581" w:rsidP="007C139C">
            <w:pPr>
              <w:pStyle w:val="NormalWeb"/>
              <w:overflowPunct w:val="0"/>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BW=10MHz, N</w:t>
            </w:r>
            <w:r w:rsidR="007C139C" w:rsidRPr="009D3989">
              <w:rPr>
                <w:rFonts w:ascii="Times New Roman" w:hAnsi="Times New Roman" w:cs="Times New Roman"/>
                <w:sz w:val="22"/>
                <w:szCs w:val="22"/>
              </w:rPr>
              <w:t>_</w:t>
            </w:r>
            <w:r w:rsidRPr="009D3989">
              <w:rPr>
                <w:rFonts w:ascii="Times New Roman" w:hAnsi="Times New Roman" w:cs="Times New Roman"/>
                <w:sz w:val="22"/>
                <w:szCs w:val="22"/>
              </w:rPr>
              <w:t xml:space="preserve">FFT=1024, </w:t>
            </w:r>
            <w:r w:rsidR="007C139C" w:rsidRPr="009D3989">
              <w:rPr>
                <w:rFonts w:ascii="Calibri" w:hAnsi="Calibri" w:cs="Times New Roman"/>
                <w:sz w:val="22"/>
                <w:szCs w:val="22"/>
              </w:rPr>
              <w:t>Δ</w:t>
            </w:r>
            <w:r w:rsidRPr="009D3989">
              <w:rPr>
                <w:rFonts w:ascii="Times New Roman" w:hAnsi="Times New Roman" w:cs="Times New Roman"/>
                <w:sz w:val="22"/>
                <w:szCs w:val="22"/>
              </w:rPr>
              <w:t>f=15kHz, Fs=15.36MHz</w:t>
            </w:r>
          </w:p>
        </w:tc>
      </w:tr>
      <w:tr w:rsidR="00E278CF" w:rsidRPr="009D3989" w:rsidTr="00E278CF">
        <w:trPr>
          <w:trHeight w:val="559"/>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4"/>
                <w:sz w:val="22"/>
                <w:szCs w:val="22"/>
              </w:rPr>
              <w:t xml:space="preserve">Data bandwidth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9D3989">
              <w:rPr>
                <w:rFonts w:ascii="Times New Roman" w:hAnsi="Times New Roman" w:cs="Times New Roman"/>
                <w:color w:val="000000"/>
                <w:kern w:val="24"/>
                <w:sz w:val="22"/>
                <w:szCs w:val="22"/>
              </w:rPr>
              <w:t>18RB for QPSK, 12RB for 16QAM</w:t>
            </w:r>
            <w:r w:rsidR="007C139C" w:rsidRPr="009D3989">
              <w:rPr>
                <w:rFonts w:ascii="Times New Roman" w:hAnsi="Times New Roman" w:cs="Times New Roman"/>
                <w:color w:val="000000"/>
                <w:kern w:val="24"/>
                <w:sz w:val="22"/>
                <w:szCs w:val="22"/>
              </w:rPr>
              <w:t xml:space="preserve"> (payload 300bytes)</w:t>
            </w:r>
          </w:p>
        </w:tc>
      </w:tr>
      <w:tr w:rsidR="00F20A97" w:rsidRPr="009D3989" w:rsidTr="003D19BD">
        <w:trPr>
          <w:trHeight w:val="58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20A97" w:rsidRPr="009D3989" w:rsidRDefault="00F20A97"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Payload</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190 bytes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300 bytes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800 bytes</w:t>
            </w:r>
          </w:p>
        </w:tc>
      </w:tr>
      <w:tr w:rsidR="00F20A97" w:rsidRPr="009D3989" w:rsidTr="003D19BD">
        <w:trPr>
          <w:trHeight w:val="47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20A97" w:rsidRPr="009D3989" w:rsidRDefault="00F20A97" w:rsidP="00E278C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MCS /allocation</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vAlign w:val="center"/>
          </w:tcPr>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QPSK ½ - 10RB</w:t>
            </w:r>
          </w:p>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16QAM ½ - 5RB</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9D3989"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QPSK ½ - 16RB</w:t>
            </w:r>
          </w:p>
          <w:p w:rsidR="00F20A97" w:rsidRPr="009D3989"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16QAM ½ - 8RB</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9D3989"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QPSK ½ - 44RB</w:t>
            </w:r>
          </w:p>
          <w:p w:rsidR="00F20A97" w:rsidRPr="009D3989"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16QAM ½ - 22RB</w:t>
            </w:r>
          </w:p>
        </w:tc>
      </w:tr>
      <w:tr w:rsidR="00E278CF" w:rsidRPr="009D3989" w:rsidTr="00E278CF">
        <w:trPr>
          <w:trHeight w:val="33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Channel coding</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color w:val="000000"/>
                <w:kern w:val="2"/>
                <w:sz w:val="22"/>
                <w:szCs w:val="22"/>
                <w:lang w:val="pt-BR"/>
              </w:rPr>
              <w:t>LTE Turbo code</w:t>
            </w:r>
          </w:p>
        </w:tc>
      </w:tr>
      <w:tr w:rsidR="00E278CF" w:rsidRPr="009D3989" w:rsidTr="00E278CF">
        <w:trPr>
          <w:trHeight w:val="44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HPA</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color w:val="000000"/>
                <w:kern w:val="2"/>
                <w:sz w:val="22"/>
                <w:szCs w:val="22"/>
              </w:rPr>
              <w:t xml:space="preserve">Rapp model, </w:t>
            </w:r>
            <w:r w:rsidRPr="009D3989">
              <w:rPr>
                <w:rFonts w:ascii="Times New Roman" w:hAnsi="Times New Roman" w:cs="Times New Roman"/>
                <w:sz w:val="20"/>
                <w:szCs w:val="20"/>
              </w:rPr>
              <w:t>, IBO=-11.6dB</w:t>
            </w:r>
          </w:p>
        </w:tc>
      </w:tr>
      <w:tr w:rsidR="00E278CF" w:rsidRPr="0073662B" w:rsidTr="00E278CF">
        <w:trPr>
          <w:trHeight w:val="47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 xml:space="preserve">Channel estimation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7C139C">
            <w:pPr>
              <w:pStyle w:val="NormalWeb"/>
              <w:overflowPunct w:val="0"/>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Realistic, LTE pilots</w:t>
            </w:r>
          </w:p>
        </w:tc>
      </w:tr>
      <w:tr w:rsidR="00E278CF" w:rsidRPr="00F20A97"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F20A97"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F20A97">
              <w:rPr>
                <w:rFonts w:ascii="Times New Roman" w:hAnsi="Times New Roman" w:cs="Times New Roman"/>
                <w:sz w:val="22"/>
                <w:szCs w:val="22"/>
              </w:rPr>
              <w:t>ITU UMi NLOS CDL 129ns</w:t>
            </w:r>
            <w:r w:rsidR="00F20A97" w:rsidRPr="00F20A97">
              <w:rPr>
                <w:rFonts w:ascii="Times New Roman" w:hAnsi="Times New Roman" w:cs="Times New Roman"/>
                <w:sz w:val="22"/>
                <w:szCs w:val="22"/>
              </w:rPr>
              <w:t xml:space="preserve"> with delay spread scaled to </w:t>
            </w:r>
            <w:r w:rsidR="00F20A97">
              <w:rPr>
                <w:rFonts w:ascii="Times New Roman" w:hAnsi="Times New Roman" w:cs="Times New Roman"/>
                <w:sz w:val="22"/>
                <w:szCs w:val="22"/>
              </w:rPr>
              <w:t>130ns/300ns/1000ns</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CFO</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Default="007C139C" w:rsidP="007C139C">
            <w:pPr>
              <w:rPr>
                <w:rFonts w:eastAsia="SimSun"/>
              </w:rPr>
            </w:pPr>
            <w:r>
              <w:rPr>
                <w:rFonts w:eastAsia="SimSun"/>
              </w:rPr>
              <w:t xml:space="preserve">Case 1 + Case B: </w:t>
            </w:r>
          </w:p>
          <w:p w:rsidR="007C139C" w:rsidRDefault="007C139C" w:rsidP="00175C63">
            <w:pPr>
              <w:pStyle w:val="Paragraphedeliste"/>
              <w:numPr>
                <w:ilvl w:val="0"/>
                <w:numId w:val="11"/>
              </w:numPr>
              <w:spacing w:after="200" w:line="276" w:lineRule="auto"/>
              <w:ind w:leftChars="0"/>
              <w:contextualSpacing/>
              <w:jc w:val="left"/>
              <w:rPr>
                <w:rFonts w:eastAsia="MS Mincho" w:cs="Times New Roman"/>
                <w:lang w:val="en-GB"/>
              </w:rPr>
            </w:pPr>
            <w:r w:rsidRPr="008111B1">
              <w:rPr>
                <w:rFonts w:eastAsia="MS Mincho" w:cs="Times New Roman"/>
                <w:lang w:val="en-GB"/>
              </w:rPr>
              <w:t xml:space="preserve">+0.1 PPM for TX and -0.1 PPM for RX w.r.t. UE’s sync reference. </w:t>
            </w:r>
          </w:p>
          <w:p w:rsidR="007C139C" w:rsidRPr="007C139C" w:rsidRDefault="007C139C" w:rsidP="00175C63">
            <w:pPr>
              <w:pStyle w:val="Paragraphedeliste"/>
              <w:numPr>
                <w:ilvl w:val="0"/>
                <w:numId w:val="11"/>
              </w:numPr>
              <w:spacing w:after="200" w:line="276" w:lineRule="auto"/>
              <w:ind w:leftChars="0"/>
              <w:contextualSpacing/>
              <w:jc w:val="left"/>
              <w:rPr>
                <w:rFonts w:cs="Times New Roman"/>
                <w:sz w:val="22"/>
                <w:szCs w:val="22"/>
                <w:lang w:val="en-GB"/>
              </w:rPr>
            </w:pPr>
            <w:r w:rsidRPr="008111B1">
              <w:rPr>
                <w:rFonts w:eastAsia="MS Mincho" w:cs="Times New Roman"/>
                <w:lang w:val="en-GB"/>
              </w:rPr>
              <w:t>+0.05 PPM for TX’s reference and -0.05 PPM for RX’s reference w.r.t. the absolute frequency.</w:t>
            </w:r>
          </w:p>
        </w:tc>
      </w:tr>
      <w:tr w:rsidR="00E278CF"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E278CF"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Speed</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7C139C" w:rsidP="00F20A97">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15/</w:t>
            </w:r>
            <w:r w:rsidR="00F20A97">
              <w:rPr>
                <w:rFonts w:ascii="Times New Roman" w:hAnsi="Times New Roman" w:cs="Times New Roman"/>
                <w:sz w:val="22"/>
                <w:szCs w:val="22"/>
              </w:rPr>
              <w:t>60/120</w:t>
            </w:r>
            <w:r w:rsidRPr="007C139C">
              <w:rPr>
                <w:rFonts w:ascii="Times New Roman" w:hAnsi="Times New Roman" w:cs="Times New Roman"/>
                <w:sz w:val="22"/>
                <w:szCs w:val="22"/>
              </w:rPr>
              <w:t xml:space="preserve"> kmph</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L-MMSE</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Pr="0073662B">
              <w:rPr>
                <w:rFonts w:ascii="Times New Roman" w:hAnsi="Times New Roman" w:cs="Times New Roman"/>
                <w:b/>
                <w:bCs/>
                <w:color w:val="000000"/>
                <w:kern w:val="2"/>
                <w:sz w:val="22"/>
                <w:szCs w:val="22"/>
              </w:rPr>
              <w:t>CDD delay</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2 samples</w:t>
            </w:r>
          </w:p>
        </w:tc>
      </w:tr>
      <w:tr w:rsidR="001507A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507AC" w:rsidRDefault="001507A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PVS vectors</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507AC" w:rsidRPr="007C139C" w:rsidRDefault="001507AC" w:rsidP="007C139C">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 1] [1 -1]], [[1 1] [-1 -1]], [[1 1 1 1] [1 j -1 -j]]</w:t>
            </w:r>
          </w:p>
        </w:tc>
      </w:tr>
    </w:tbl>
    <w:p w:rsidR="0049738E" w:rsidRPr="0073662B" w:rsidRDefault="0049738E" w:rsidP="00160C37"/>
    <w:sectPr w:rsidR="0049738E" w:rsidRPr="0073662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71D" w:rsidRDefault="006B171D" w:rsidP="00A81622">
      <w:r>
        <w:separator/>
      </w:r>
    </w:p>
  </w:endnote>
  <w:endnote w:type="continuationSeparator" w:id="0">
    <w:p w:rsidR="006B171D" w:rsidRDefault="006B171D" w:rsidP="00A81622">
      <w:r>
        <w:continuationSeparator/>
      </w:r>
    </w:p>
  </w:endnote>
  <w:endnote w:type="continuationNotice" w:id="1">
    <w:p w:rsidR="006B171D" w:rsidRDefault="006B171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71D" w:rsidRDefault="006B171D" w:rsidP="00A81622">
      <w:r>
        <w:separator/>
      </w:r>
    </w:p>
  </w:footnote>
  <w:footnote w:type="continuationSeparator" w:id="0">
    <w:p w:rsidR="006B171D" w:rsidRDefault="006B171D" w:rsidP="00A81622">
      <w:r>
        <w:continuationSeparator/>
      </w:r>
    </w:p>
  </w:footnote>
  <w:footnote w:type="continuationNotice" w:id="1">
    <w:p w:rsidR="006B171D" w:rsidRDefault="006B171D"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0160EB"/>
    <w:multiLevelType w:val="hybridMultilevel"/>
    <w:tmpl w:val="4BD6E52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23715E4"/>
    <w:multiLevelType w:val="hybridMultilevel"/>
    <w:tmpl w:val="1930C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cs="Times New Roman" w:hint="default"/>
      </w:rPr>
    </w:lvl>
    <w:lvl w:ilvl="1" w:tplc="3530ED92">
      <w:numFmt w:val="bullet"/>
      <w:lvlText w:val="–"/>
      <w:lvlJc w:val="left"/>
      <w:pPr>
        <w:tabs>
          <w:tab w:val="num" w:pos="1080"/>
        </w:tabs>
        <w:ind w:left="1080" w:hanging="360"/>
      </w:pPr>
      <w:rPr>
        <w:rFonts w:ascii="Arial" w:hAnsi="Arial" w:cs="Times New Roman" w:hint="default"/>
      </w:rPr>
    </w:lvl>
    <w:lvl w:ilvl="2" w:tplc="BB3A501A">
      <w:start w:val="1"/>
      <w:numFmt w:val="bullet"/>
      <w:lvlText w:val="•"/>
      <w:lvlJc w:val="left"/>
      <w:pPr>
        <w:tabs>
          <w:tab w:val="num" w:pos="1800"/>
        </w:tabs>
        <w:ind w:left="1800" w:hanging="360"/>
      </w:pPr>
      <w:rPr>
        <w:rFonts w:ascii="Arial" w:hAnsi="Arial" w:cs="Times New Roman" w:hint="default"/>
      </w:rPr>
    </w:lvl>
    <w:lvl w:ilvl="3" w:tplc="59A68F38">
      <w:start w:val="1"/>
      <w:numFmt w:val="bullet"/>
      <w:lvlText w:val="•"/>
      <w:lvlJc w:val="left"/>
      <w:pPr>
        <w:tabs>
          <w:tab w:val="num" w:pos="2520"/>
        </w:tabs>
        <w:ind w:left="2520" w:hanging="360"/>
      </w:pPr>
      <w:rPr>
        <w:rFonts w:ascii="Arial" w:hAnsi="Arial" w:cs="Times New Roman" w:hint="default"/>
      </w:rPr>
    </w:lvl>
    <w:lvl w:ilvl="4" w:tplc="CD68B4FE">
      <w:start w:val="1"/>
      <w:numFmt w:val="bullet"/>
      <w:lvlText w:val="•"/>
      <w:lvlJc w:val="left"/>
      <w:pPr>
        <w:tabs>
          <w:tab w:val="num" w:pos="3240"/>
        </w:tabs>
        <w:ind w:left="3240" w:hanging="360"/>
      </w:pPr>
      <w:rPr>
        <w:rFonts w:ascii="Arial" w:hAnsi="Arial" w:cs="Times New Roman" w:hint="default"/>
      </w:rPr>
    </w:lvl>
    <w:lvl w:ilvl="5" w:tplc="09AC630E">
      <w:start w:val="1"/>
      <w:numFmt w:val="bullet"/>
      <w:lvlText w:val="•"/>
      <w:lvlJc w:val="left"/>
      <w:pPr>
        <w:tabs>
          <w:tab w:val="num" w:pos="3960"/>
        </w:tabs>
        <w:ind w:left="3960" w:hanging="360"/>
      </w:pPr>
      <w:rPr>
        <w:rFonts w:ascii="Arial" w:hAnsi="Arial" w:cs="Times New Roman" w:hint="default"/>
      </w:rPr>
    </w:lvl>
    <w:lvl w:ilvl="6" w:tplc="831AF21C">
      <w:start w:val="1"/>
      <w:numFmt w:val="bullet"/>
      <w:lvlText w:val="•"/>
      <w:lvlJc w:val="left"/>
      <w:pPr>
        <w:tabs>
          <w:tab w:val="num" w:pos="4680"/>
        </w:tabs>
        <w:ind w:left="4680" w:hanging="360"/>
      </w:pPr>
      <w:rPr>
        <w:rFonts w:ascii="Arial" w:hAnsi="Arial" w:cs="Times New Roman" w:hint="default"/>
      </w:rPr>
    </w:lvl>
    <w:lvl w:ilvl="7" w:tplc="9CE0ABFE">
      <w:start w:val="1"/>
      <w:numFmt w:val="bullet"/>
      <w:lvlText w:val="•"/>
      <w:lvlJc w:val="left"/>
      <w:pPr>
        <w:tabs>
          <w:tab w:val="num" w:pos="5400"/>
        </w:tabs>
        <w:ind w:left="5400" w:hanging="360"/>
      </w:pPr>
      <w:rPr>
        <w:rFonts w:ascii="Arial" w:hAnsi="Arial" w:cs="Times New Roman" w:hint="default"/>
      </w:rPr>
    </w:lvl>
    <w:lvl w:ilvl="8" w:tplc="AD5063F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3"/>
  </w:num>
  <w:num w:numId="5">
    <w:abstractNumId w:val="12"/>
  </w:num>
  <w:num w:numId="6">
    <w:abstractNumId w:val="2"/>
  </w:num>
  <w:num w:numId="7">
    <w:abstractNumId w:val="7"/>
  </w:num>
  <w:num w:numId="8">
    <w:abstractNumId w:val="1"/>
  </w:num>
  <w:num w:numId="9">
    <w:abstractNumId w:val="6"/>
  </w:num>
  <w:num w:numId="10">
    <w:abstractNumId w:val="5"/>
  </w:num>
  <w:num w:numId="11">
    <w:abstractNumId w:val="8"/>
  </w:num>
  <w:num w:numId="12">
    <w:abstractNumId w:val="4"/>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9BB"/>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16B"/>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23C"/>
    <w:rsid w:val="000C1793"/>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6FE3"/>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286"/>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5944"/>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91B"/>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7AC"/>
    <w:rsid w:val="00150EAE"/>
    <w:rsid w:val="00150EE4"/>
    <w:rsid w:val="001513C2"/>
    <w:rsid w:val="00151984"/>
    <w:rsid w:val="00151D10"/>
    <w:rsid w:val="00151F3A"/>
    <w:rsid w:val="00152772"/>
    <w:rsid w:val="00152CC3"/>
    <w:rsid w:val="00153A9E"/>
    <w:rsid w:val="001550A0"/>
    <w:rsid w:val="001552B9"/>
    <w:rsid w:val="001557DF"/>
    <w:rsid w:val="00155C60"/>
    <w:rsid w:val="00157039"/>
    <w:rsid w:val="00160772"/>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5C63"/>
    <w:rsid w:val="001772D2"/>
    <w:rsid w:val="00177419"/>
    <w:rsid w:val="00180451"/>
    <w:rsid w:val="00180B5A"/>
    <w:rsid w:val="00181778"/>
    <w:rsid w:val="001817C7"/>
    <w:rsid w:val="00181F6E"/>
    <w:rsid w:val="00181FFB"/>
    <w:rsid w:val="00182574"/>
    <w:rsid w:val="00183502"/>
    <w:rsid w:val="00183AC7"/>
    <w:rsid w:val="00183B5B"/>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5E"/>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1DEE"/>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C94"/>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0FB8"/>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430"/>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2DC"/>
    <w:rsid w:val="003B7855"/>
    <w:rsid w:val="003C12FA"/>
    <w:rsid w:val="003C1E88"/>
    <w:rsid w:val="003C27D5"/>
    <w:rsid w:val="003C2D44"/>
    <w:rsid w:val="003C2DCC"/>
    <w:rsid w:val="003C3242"/>
    <w:rsid w:val="003C3751"/>
    <w:rsid w:val="003C3E3C"/>
    <w:rsid w:val="003C4B63"/>
    <w:rsid w:val="003C50DE"/>
    <w:rsid w:val="003C5892"/>
    <w:rsid w:val="003C5E08"/>
    <w:rsid w:val="003C61AB"/>
    <w:rsid w:val="003C6470"/>
    <w:rsid w:val="003C6C6E"/>
    <w:rsid w:val="003C6FC0"/>
    <w:rsid w:val="003C7581"/>
    <w:rsid w:val="003C7808"/>
    <w:rsid w:val="003D00CF"/>
    <w:rsid w:val="003D1676"/>
    <w:rsid w:val="003D1700"/>
    <w:rsid w:val="003D19BD"/>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35E"/>
    <w:rsid w:val="003F4936"/>
    <w:rsid w:val="003F4BE8"/>
    <w:rsid w:val="003F5707"/>
    <w:rsid w:val="003F5EE0"/>
    <w:rsid w:val="003F7351"/>
    <w:rsid w:val="003F779C"/>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29A4"/>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71D"/>
    <w:rsid w:val="006B1E36"/>
    <w:rsid w:val="006B219D"/>
    <w:rsid w:val="006B2CC0"/>
    <w:rsid w:val="006B3D73"/>
    <w:rsid w:val="006B471A"/>
    <w:rsid w:val="006B62EC"/>
    <w:rsid w:val="006B79D9"/>
    <w:rsid w:val="006C1C5D"/>
    <w:rsid w:val="006C2369"/>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2F55"/>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39C"/>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4E01"/>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521C"/>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B7A2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9"/>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489A"/>
    <w:rsid w:val="00A35549"/>
    <w:rsid w:val="00A36CFE"/>
    <w:rsid w:val="00A371DD"/>
    <w:rsid w:val="00A37F05"/>
    <w:rsid w:val="00A4054C"/>
    <w:rsid w:val="00A41438"/>
    <w:rsid w:val="00A4327B"/>
    <w:rsid w:val="00A43E60"/>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4DB"/>
    <w:rsid w:val="00A705A6"/>
    <w:rsid w:val="00A7066A"/>
    <w:rsid w:val="00A7118A"/>
    <w:rsid w:val="00A717E6"/>
    <w:rsid w:val="00A71EF5"/>
    <w:rsid w:val="00A72652"/>
    <w:rsid w:val="00A7576F"/>
    <w:rsid w:val="00A7661F"/>
    <w:rsid w:val="00A77559"/>
    <w:rsid w:val="00A81622"/>
    <w:rsid w:val="00A817C9"/>
    <w:rsid w:val="00A81B63"/>
    <w:rsid w:val="00A81E4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2A97"/>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1981"/>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4A0B"/>
    <w:rsid w:val="00B85817"/>
    <w:rsid w:val="00B85908"/>
    <w:rsid w:val="00B8648E"/>
    <w:rsid w:val="00B86ADA"/>
    <w:rsid w:val="00B875A2"/>
    <w:rsid w:val="00B8760F"/>
    <w:rsid w:val="00B9066E"/>
    <w:rsid w:val="00B90B08"/>
    <w:rsid w:val="00B91830"/>
    <w:rsid w:val="00B918DA"/>
    <w:rsid w:val="00B92C04"/>
    <w:rsid w:val="00B93FB7"/>
    <w:rsid w:val="00B943A0"/>
    <w:rsid w:val="00B94CD1"/>
    <w:rsid w:val="00B95633"/>
    <w:rsid w:val="00B9596D"/>
    <w:rsid w:val="00B9608F"/>
    <w:rsid w:val="00B961B4"/>
    <w:rsid w:val="00B96293"/>
    <w:rsid w:val="00B96B9B"/>
    <w:rsid w:val="00B97967"/>
    <w:rsid w:val="00BA0FB0"/>
    <w:rsid w:val="00BA2353"/>
    <w:rsid w:val="00BA2FD6"/>
    <w:rsid w:val="00BA31A1"/>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4876"/>
    <w:rsid w:val="00BF54A4"/>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3E3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57BD"/>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59A7"/>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47F8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4041"/>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8CF"/>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A64"/>
    <w:rsid w:val="00F06DBB"/>
    <w:rsid w:val="00F075AE"/>
    <w:rsid w:val="00F101DA"/>
    <w:rsid w:val="00F114E6"/>
    <w:rsid w:val="00F1211B"/>
    <w:rsid w:val="00F12D58"/>
    <w:rsid w:val="00F14059"/>
    <w:rsid w:val="00F14B5A"/>
    <w:rsid w:val="00F15698"/>
    <w:rsid w:val="00F15B8D"/>
    <w:rsid w:val="00F161A7"/>
    <w:rsid w:val="00F20A9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158A"/>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 w:type="numbering" w:customStyle="1" w:styleId="Aucuneliste1">
    <w:name w:val="Aucune liste1"/>
    <w:next w:val="Aucuneliste"/>
    <w:uiPriority w:val="99"/>
    <w:semiHidden/>
    <w:unhideWhenUsed/>
    <w:rsid w:val="00380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9696332">
      <w:bodyDiv w:val="1"/>
      <w:marLeft w:val="0"/>
      <w:marRight w:val="0"/>
      <w:marTop w:val="0"/>
      <w:marBottom w:val="0"/>
      <w:divBdr>
        <w:top w:val="none" w:sz="0" w:space="0" w:color="auto"/>
        <w:left w:val="none" w:sz="0" w:space="0" w:color="auto"/>
        <w:bottom w:val="none" w:sz="0" w:space="0" w:color="auto"/>
        <w:right w:val="none" w:sz="0" w:space="0" w:color="auto"/>
      </w:divBdr>
      <w:divsChild>
        <w:div w:id="1434398006">
          <w:marLeft w:val="0"/>
          <w:marRight w:val="0"/>
          <w:marTop w:val="0"/>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3650031">
      <w:bodyDiv w:val="1"/>
      <w:marLeft w:val="0"/>
      <w:marRight w:val="0"/>
      <w:marTop w:val="0"/>
      <w:marBottom w:val="0"/>
      <w:divBdr>
        <w:top w:val="none" w:sz="0" w:space="0" w:color="auto"/>
        <w:left w:val="none" w:sz="0" w:space="0" w:color="auto"/>
        <w:bottom w:val="none" w:sz="0" w:space="0" w:color="auto"/>
        <w:right w:val="none" w:sz="0" w:space="0" w:color="auto"/>
      </w:divBdr>
      <w:divsChild>
        <w:div w:id="2127658312">
          <w:marLeft w:val="0"/>
          <w:marRight w:val="0"/>
          <w:marTop w:val="0"/>
          <w:marBottom w:val="0"/>
          <w:divBdr>
            <w:top w:val="none" w:sz="0" w:space="0" w:color="auto"/>
            <w:left w:val="none" w:sz="0" w:space="0" w:color="auto"/>
            <w:bottom w:val="none" w:sz="0" w:space="0" w:color="auto"/>
            <w:right w:val="none" w:sz="0" w:space="0" w:color="auto"/>
          </w:divBdr>
        </w:div>
      </w:divsChild>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A8601A-56D3-4FAF-8C1D-B86402B8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8</Pages>
  <Words>2636</Words>
  <Characters>14503</Characters>
  <Application>Microsoft Office Word</Application>
  <DocSecurity>0</DocSecurity>
  <Lines>120</Lines>
  <Paragraphs>34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4</cp:revision>
  <cp:lastPrinted>2016-08-10T06:06:00Z</cp:lastPrinted>
  <dcterms:created xsi:type="dcterms:W3CDTF">2018-02-14T11:17:00Z</dcterms:created>
  <dcterms:modified xsi:type="dcterms:W3CDTF">2018-02-16T17:48:00Z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